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4CE3A" w14:textId="2FC76C1F" w:rsidR="00CA6191" w:rsidRDefault="00CA6191" w:rsidP="00215443">
      <w:pPr>
        <w:pStyle w:val="NoSpacing"/>
        <w:jc w:val="center"/>
        <w:rPr>
          <w:rFonts w:ascii="Georgia" w:hAnsi="Georgia" w:cstheme="minorHAnsi"/>
          <w:b/>
          <w:sz w:val="36"/>
          <w:szCs w:val="36"/>
        </w:rPr>
      </w:pPr>
      <w:r w:rsidRPr="00CA6191">
        <w:rPr>
          <w:rFonts w:eastAsia="Calibri"/>
          <w:noProof/>
        </w:rPr>
        <w:drawing>
          <wp:inline distT="0" distB="0" distL="0" distR="0" wp14:anchorId="108BAAEB" wp14:editId="5928C20D">
            <wp:extent cx="3543300" cy="904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300" cy="904875"/>
                    </a:xfrm>
                    <a:prstGeom prst="rect">
                      <a:avLst/>
                    </a:prstGeom>
                    <a:noFill/>
                    <a:ln>
                      <a:noFill/>
                    </a:ln>
                  </pic:spPr>
                </pic:pic>
              </a:graphicData>
            </a:graphic>
          </wp:inline>
        </w:drawing>
      </w:r>
    </w:p>
    <w:p w14:paraId="3B6FD79D" w14:textId="77777777" w:rsidR="00CA6191" w:rsidRPr="00CA6191" w:rsidRDefault="00CA6191" w:rsidP="00CA6191">
      <w:pPr>
        <w:spacing w:after="0" w:line="254" w:lineRule="auto"/>
        <w:jc w:val="center"/>
        <w:rPr>
          <w:rFonts w:ascii="Georgia" w:eastAsia="Times New Roman" w:hAnsi="Georgia" w:cs="Times New Roman"/>
          <w:sz w:val="16"/>
          <w:szCs w:val="16"/>
        </w:rPr>
      </w:pPr>
      <w:r w:rsidRPr="00CA6191">
        <w:rPr>
          <w:rFonts w:ascii="Georgia" w:eastAsia="Times New Roman" w:hAnsi="Georgia" w:cs="Times New Roman"/>
          <w:sz w:val="16"/>
          <w:szCs w:val="16"/>
        </w:rPr>
        <w:t>A program of the Center for Health Humanities and Ethics</w:t>
      </w:r>
    </w:p>
    <w:p w14:paraId="4CAF634C" w14:textId="77777777" w:rsidR="00CA6191" w:rsidRPr="00CA6191" w:rsidRDefault="00CA6191" w:rsidP="00CA6191">
      <w:pPr>
        <w:spacing w:after="0" w:line="254" w:lineRule="auto"/>
        <w:jc w:val="center"/>
        <w:rPr>
          <w:rFonts w:ascii="Georgia" w:eastAsia="Times New Roman" w:hAnsi="Georgia" w:cs="Times New Roman"/>
          <w:sz w:val="16"/>
          <w:szCs w:val="16"/>
        </w:rPr>
      </w:pPr>
      <w:r w:rsidRPr="00CA6191">
        <w:rPr>
          <w:rFonts w:ascii="Georgia" w:eastAsia="Times New Roman" w:hAnsi="Georgia" w:cs="Times New Roman"/>
          <w:sz w:val="16"/>
          <w:szCs w:val="16"/>
        </w:rPr>
        <w:t>University of Virginia School of Medicine</w:t>
      </w:r>
    </w:p>
    <w:p w14:paraId="7F813C76" w14:textId="77777777" w:rsidR="00CA6191" w:rsidRPr="00CA6191" w:rsidRDefault="00CA6191" w:rsidP="00CA6191">
      <w:pPr>
        <w:spacing w:after="0" w:line="240" w:lineRule="auto"/>
        <w:jc w:val="center"/>
        <w:rPr>
          <w:rFonts w:ascii="Georgia" w:eastAsia="Times New Roman" w:hAnsi="Georgia" w:cs="Calibri"/>
          <w:sz w:val="16"/>
          <w:szCs w:val="16"/>
        </w:rPr>
      </w:pPr>
      <w:r w:rsidRPr="00CA6191">
        <w:rPr>
          <w:rFonts w:ascii="Georgia" w:eastAsia="Times New Roman" w:hAnsi="Georgia" w:cs="Calibri"/>
          <w:sz w:val="16"/>
          <w:szCs w:val="16"/>
        </w:rPr>
        <w:t>Provided by the University of Virginia School of Medicine and School of Nursing</w:t>
      </w:r>
    </w:p>
    <w:p w14:paraId="428DDD9C" w14:textId="77777777" w:rsidR="00CA6191" w:rsidRPr="00B617AC" w:rsidRDefault="00CA6191" w:rsidP="00215443">
      <w:pPr>
        <w:pStyle w:val="NoSpacing"/>
        <w:jc w:val="center"/>
        <w:rPr>
          <w:rFonts w:ascii="Georgia" w:hAnsi="Georgia" w:cstheme="minorHAnsi"/>
          <w:b/>
          <w:sz w:val="24"/>
          <w:szCs w:val="36"/>
        </w:rPr>
      </w:pPr>
    </w:p>
    <w:p w14:paraId="59DF4D0B" w14:textId="500EDB9F" w:rsidR="00400C31" w:rsidRPr="00400C31" w:rsidRDefault="00400C31" w:rsidP="00400C31">
      <w:pPr>
        <w:pStyle w:val="NoSpacing"/>
        <w:jc w:val="center"/>
        <w:rPr>
          <w:rFonts w:ascii="Georgia" w:hAnsi="Georgia" w:cstheme="minorHAnsi"/>
          <w:b/>
          <w:sz w:val="36"/>
          <w:szCs w:val="36"/>
        </w:rPr>
      </w:pPr>
      <w:r w:rsidRPr="00400C31">
        <w:rPr>
          <w:rFonts w:ascii="Georgia" w:hAnsi="Georgia" w:cstheme="minorHAnsi"/>
          <w:b/>
          <w:sz w:val="36"/>
          <w:szCs w:val="36"/>
        </w:rPr>
        <w:t xml:space="preserve">Zula Mae Baber Bice Memorial Lecture </w:t>
      </w:r>
    </w:p>
    <w:p w14:paraId="7F90D2AC" w14:textId="05743777" w:rsidR="00CA6191" w:rsidRDefault="00400C31" w:rsidP="00400C31">
      <w:pPr>
        <w:pStyle w:val="NoSpacing"/>
        <w:jc w:val="center"/>
        <w:rPr>
          <w:rFonts w:ascii="Georgia" w:hAnsi="Georgia" w:cstheme="minorHAnsi"/>
          <w:b/>
          <w:sz w:val="28"/>
          <w:szCs w:val="28"/>
        </w:rPr>
      </w:pPr>
      <w:r w:rsidRPr="00400C31">
        <w:rPr>
          <w:rFonts w:ascii="Georgia" w:hAnsi="Georgia" w:cstheme="minorHAnsi"/>
          <w:b/>
          <w:sz w:val="36"/>
          <w:szCs w:val="36"/>
        </w:rPr>
        <w:t xml:space="preserve"> </w:t>
      </w:r>
      <w:r w:rsidR="00D967A0" w:rsidRPr="00CA6191">
        <w:rPr>
          <w:rFonts w:ascii="Georgia" w:hAnsi="Georgia" w:cstheme="minorHAnsi"/>
          <w:b/>
          <w:sz w:val="36"/>
          <w:szCs w:val="36"/>
        </w:rPr>
        <w:t xml:space="preserve"> </w:t>
      </w:r>
      <w:r>
        <w:rPr>
          <w:rFonts w:ascii="Georgia" w:hAnsi="Georgia" w:cstheme="minorHAnsi"/>
          <w:b/>
          <w:sz w:val="28"/>
          <w:szCs w:val="28"/>
        </w:rPr>
        <w:t>Thursday, October 3</w:t>
      </w:r>
      <w:r w:rsidR="00CA6191" w:rsidRPr="00CA6191">
        <w:rPr>
          <w:rFonts w:ascii="Georgia" w:hAnsi="Georgia" w:cstheme="minorHAnsi"/>
          <w:b/>
          <w:sz w:val="28"/>
          <w:szCs w:val="28"/>
        </w:rPr>
        <w:t xml:space="preserve"> | 12:</w:t>
      </w:r>
      <w:r>
        <w:rPr>
          <w:rFonts w:ascii="Georgia" w:hAnsi="Georgia" w:cstheme="minorHAnsi"/>
          <w:b/>
          <w:sz w:val="28"/>
          <w:szCs w:val="28"/>
        </w:rPr>
        <w:t>00</w:t>
      </w:r>
      <w:r w:rsidR="00CA6191" w:rsidRPr="00CA6191">
        <w:rPr>
          <w:rFonts w:ascii="Georgia" w:hAnsi="Georgia" w:cstheme="minorHAnsi"/>
          <w:b/>
          <w:sz w:val="28"/>
          <w:szCs w:val="28"/>
        </w:rPr>
        <w:t xml:space="preserve"> to 1:</w:t>
      </w:r>
      <w:r>
        <w:rPr>
          <w:rFonts w:ascii="Georgia" w:hAnsi="Georgia" w:cstheme="minorHAnsi"/>
          <w:b/>
          <w:sz w:val="28"/>
          <w:szCs w:val="28"/>
        </w:rPr>
        <w:t>00</w:t>
      </w:r>
    </w:p>
    <w:p w14:paraId="5680891A" w14:textId="69C16FCD" w:rsidR="00400C31" w:rsidRDefault="00400C31" w:rsidP="00400C31">
      <w:pPr>
        <w:pStyle w:val="NoSpacing"/>
        <w:jc w:val="center"/>
        <w:rPr>
          <w:rFonts w:ascii="Georgia" w:hAnsi="Georgia" w:cstheme="minorHAnsi"/>
          <w:b/>
          <w:sz w:val="28"/>
          <w:szCs w:val="28"/>
        </w:rPr>
      </w:pPr>
      <w:r>
        <w:rPr>
          <w:rFonts w:ascii="Georgia" w:hAnsi="Georgia" w:cstheme="minorHAnsi"/>
          <w:b/>
          <w:sz w:val="28"/>
          <w:szCs w:val="28"/>
        </w:rPr>
        <w:t>Claude Moore Education Building, Room 3110</w:t>
      </w:r>
    </w:p>
    <w:p w14:paraId="3CEAF040" w14:textId="7736E52A" w:rsidR="00400C31" w:rsidRPr="00400C31" w:rsidRDefault="00400C31" w:rsidP="00400C31">
      <w:pPr>
        <w:pStyle w:val="NoSpacing"/>
        <w:jc w:val="center"/>
        <w:rPr>
          <w:rFonts w:ascii="Georgia" w:hAnsi="Georgia" w:cstheme="minorHAnsi"/>
          <w:b/>
          <w:sz w:val="24"/>
          <w:szCs w:val="24"/>
        </w:rPr>
      </w:pPr>
      <w:r w:rsidRPr="00400C31">
        <w:rPr>
          <w:rFonts w:ascii="Georgia" w:hAnsi="Georgia" w:cstheme="minorHAnsi"/>
          <w:b/>
          <w:sz w:val="24"/>
          <w:szCs w:val="24"/>
        </w:rPr>
        <w:t xml:space="preserve">Zoom: </w:t>
      </w:r>
      <w:r w:rsidRPr="00400C31">
        <w:rPr>
          <w:rFonts w:ascii="Georgia" w:hAnsi="Georgia" w:cstheme="minorHAnsi"/>
          <w:b/>
          <w:sz w:val="24"/>
          <w:szCs w:val="24"/>
        </w:rPr>
        <w:t>https://us02web.zoom.us/j/84865001458</w:t>
      </w:r>
    </w:p>
    <w:p w14:paraId="5CE93B27" w14:textId="79E7728C" w:rsidR="00CA6191" w:rsidRPr="00CA6191" w:rsidRDefault="00CA6191" w:rsidP="00CA6191">
      <w:pPr>
        <w:pStyle w:val="NoSpacing"/>
        <w:jc w:val="center"/>
        <w:rPr>
          <w:rFonts w:ascii="Georgia" w:hAnsi="Georgia" w:cstheme="minorHAnsi"/>
          <w:b/>
          <w:sz w:val="24"/>
          <w:szCs w:val="36"/>
        </w:rPr>
      </w:pPr>
    </w:p>
    <w:p w14:paraId="3D029EDC" w14:textId="77777777" w:rsidR="00400C31" w:rsidRPr="00400C31" w:rsidRDefault="00400C31" w:rsidP="00CA6191">
      <w:pPr>
        <w:pStyle w:val="NoSpacing"/>
        <w:jc w:val="center"/>
        <w:rPr>
          <w:rFonts w:ascii="Georgia" w:hAnsi="Georgia" w:cstheme="minorHAnsi"/>
          <w:b/>
          <w:color w:val="2E74B5" w:themeColor="accent1" w:themeShade="BF"/>
          <w:sz w:val="40"/>
          <w:szCs w:val="40"/>
        </w:rPr>
      </w:pPr>
      <w:r w:rsidRPr="00400C31">
        <w:rPr>
          <w:rFonts w:ascii="Georgia" w:hAnsi="Georgia" w:cstheme="minorHAnsi"/>
          <w:b/>
          <w:color w:val="2E74B5" w:themeColor="accent1" w:themeShade="BF"/>
          <w:sz w:val="40"/>
          <w:szCs w:val="40"/>
        </w:rPr>
        <w:t>Following What Matters</w:t>
      </w:r>
    </w:p>
    <w:p w14:paraId="0DFF9EC2" w14:textId="5BD2B1FA" w:rsidR="00400C31" w:rsidRPr="009F58E7" w:rsidRDefault="00400C31" w:rsidP="00CA6191">
      <w:pPr>
        <w:pStyle w:val="NoSpacing"/>
        <w:jc w:val="center"/>
        <w:rPr>
          <w:rFonts w:ascii="Georgia" w:eastAsiaTheme="minorHAnsi" w:hAnsi="Georgia" w:cstheme="minorHAnsi"/>
          <w:b/>
          <w:color w:val="2E74B5" w:themeColor="accent1" w:themeShade="BF"/>
          <w:sz w:val="24"/>
          <w:szCs w:val="36"/>
        </w:rPr>
      </w:pPr>
      <w:r w:rsidRPr="00400C31">
        <w:rPr>
          <w:rFonts w:ascii="Georgia" w:eastAsiaTheme="minorHAnsi" w:hAnsi="Georgia" w:cstheme="minorHAnsi"/>
          <w:b/>
          <w:color w:val="2E74B5" w:themeColor="accent1" w:themeShade="BF"/>
          <w:sz w:val="36"/>
          <w:szCs w:val="36"/>
        </w:rPr>
        <w:t xml:space="preserve"> </w:t>
      </w:r>
    </w:p>
    <w:p w14:paraId="1F788705" w14:textId="77777777" w:rsidR="00400C31" w:rsidRDefault="00400C31" w:rsidP="00CA6191">
      <w:pPr>
        <w:pStyle w:val="NoSpacing"/>
        <w:jc w:val="center"/>
        <w:rPr>
          <w:rFonts w:ascii="Georgia" w:eastAsiaTheme="minorHAnsi" w:hAnsi="Georgia" w:cstheme="minorHAnsi"/>
          <w:b/>
          <w:sz w:val="32"/>
          <w:szCs w:val="32"/>
        </w:rPr>
      </w:pPr>
      <w:r w:rsidRPr="00400C31">
        <w:rPr>
          <w:rFonts w:ascii="Georgia" w:eastAsiaTheme="minorHAnsi" w:hAnsi="Georgia" w:cstheme="minorHAnsi"/>
          <w:b/>
          <w:sz w:val="32"/>
          <w:szCs w:val="32"/>
        </w:rPr>
        <w:t>Kenneth R. White, PhD, APRN-BC, FACHE, FADLN, FAAN</w:t>
      </w:r>
    </w:p>
    <w:p w14:paraId="56BCC832" w14:textId="77777777" w:rsidR="00400C31" w:rsidRPr="00400C31" w:rsidRDefault="00400C31" w:rsidP="00400C31">
      <w:pPr>
        <w:pStyle w:val="NoSpacing"/>
        <w:jc w:val="center"/>
        <w:rPr>
          <w:rFonts w:ascii="Georgia" w:eastAsiaTheme="minorHAnsi" w:hAnsi="Georgia" w:cstheme="minorHAnsi"/>
          <w:bCs/>
          <w:sz w:val="28"/>
          <w:szCs w:val="28"/>
        </w:rPr>
      </w:pPr>
      <w:r w:rsidRPr="00400C31">
        <w:rPr>
          <w:rFonts w:ascii="Georgia" w:eastAsiaTheme="minorHAnsi" w:hAnsi="Georgia" w:cstheme="minorHAnsi"/>
          <w:bCs/>
          <w:sz w:val="28"/>
          <w:szCs w:val="28"/>
        </w:rPr>
        <w:t>Dean Emeritus, MGH Institute of Health Professions School of Nursing</w:t>
      </w:r>
    </w:p>
    <w:p w14:paraId="235912E3" w14:textId="77777777" w:rsidR="00400C31" w:rsidRPr="00400C31" w:rsidRDefault="00400C31" w:rsidP="00400C31">
      <w:pPr>
        <w:pStyle w:val="NoSpacing"/>
        <w:jc w:val="center"/>
        <w:rPr>
          <w:rFonts w:ascii="Georgia" w:eastAsiaTheme="minorHAnsi" w:hAnsi="Georgia" w:cstheme="minorHAnsi"/>
          <w:bCs/>
          <w:sz w:val="28"/>
          <w:szCs w:val="28"/>
        </w:rPr>
      </w:pPr>
      <w:r w:rsidRPr="00400C31">
        <w:rPr>
          <w:rFonts w:ascii="Georgia" w:eastAsiaTheme="minorHAnsi" w:hAnsi="Georgia" w:cstheme="minorHAnsi"/>
          <w:bCs/>
          <w:sz w:val="28"/>
          <w:szCs w:val="28"/>
        </w:rPr>
        <w:t>UVA Health Professor of Nursing Emeritus, University of Virginia</w:t>
      </w:r>
    </w:p>
    <w:p w14:paraId="112E39F2" w14:textId="6476FF44" w:rsidR="00CA6191" w:rsidRPr="00400C31" w:rsidRDefault="00400C31" w:rsidP="00400C31">
      <w:pPr>
        <w:pStyle w:val="NoSpacing"/>
        <w:jc w:val="center"/>
        <w:rPr>
          <w:rFonts w:ascii="Georgia" w:eastAsiaTheme="minorHAnsi" w:hAnsi="Georgia" w:cstheme="minorHAnsi"/>
          <w:bCs/>
          <w:sz w:val="28"/>
          <w:szCs w:val="28"/>
        </w:rPr>
      </w:pPr>
      <w:r w:rsidRPr="00400C31">
        <w:rPr>
          <w:rFonts w:ascii="Georgia" w:eastAsiaTheme="minorHAnsi" w:hAnsi="Georgia" w:cstheme="minorHAnsi"/>
          <w:bCs/>
          <w:sz w:val="28"/>
          <w:szCs w:val="28"/>
        </w:rPr>
        <w:t>Professor of Health Administration Emeritus, Virginia Commonwealth University</w:t>
      </w:r>
    </w:p>
    <w:p w14:paraId="442BB52F" w14:textId="77777777" w:rsidR="00400C31" w:rsidRPr="00400C31" w:rsidRDefault="00400C31" w:rsidP="00400C31">
      <w:pPr>
        <w:pStyle w:val="NoSpacing"/>
        <w:jc w:val="center"/>
        <w:rPr>
          <w:rFonts w:ascii="Georgia" w:eastAsiaTheme="minorHAnsi" w:hAnsi="Georgia" w:cstheme="minorHAnsi"/>
          <w:bCs/>
          <w:sz w:val="24"/>
          <w:szCs w:val="24"/>
        </w:rPr>
      </w:pPr>
    </w:p>
    <w:p w14:paraId="025CCA5C" w14:textId="77777777" w:rsidR="00400C31" w:rsidRPr="00400C31" w:rsidRDefault="00400C31" w:rsidP="009F58E7">
      <w:pPr>
        <w:spacing w:line="260" w:lineRule="exact"/>
        <w:ind w:right="317"/>
        <w:rPr>
          <w:rFonts w:ascii="Georgia" w:hAnsi="Georgia" w:cstheme="minorHAnsi"/>
          <w:bCs/>
          <w:sz w:val="24"/>
          <w:szCs w:val="24"/>
        </w:rPr>
      </w:pPr>
      <w:r w:rsidRPr="00400C31">
        <w:rPr>
          <w:rFonts w:ascii="Georgia" w:hAnsi="Georgia" w:cstheme="minorHAnsi"/>
          <w:bCs/>
          <w:sz w:val="24"/>
          <w:szCs w:val="24"/>
        </w:rPr>
        <w:t>This one-hour educational session is a combination of didactic presentation and audience participation to reflect on ways that nurses, physicians, educators, and all care team members may reconnect with the joy of our special work using a framework on “mattering”. The overall aim is to inspire, motivate, and celebrate what matters and to present examples and stories of how each person can make a difference.  Recommendations will be offered for how to return to “touchstones” that may rejuvenate in particularly challenging times.</w:t>
      </w:r>
    </w:p>
    <w:p w14:paraId="025A9FED" w14:textId="584C4E18" w:rsidR="009277AF" w:rsidRPr="003C5886" w:rsidRDefault="00CA6191" w:rsidP="009F58E7">
      <w:pPr>
        <w:spacing w:line="240" w:lineRule="auto"/>
        <w:ind w:right="317"/>
        <w:rPr>
          <w:i/>
          <w:sz w:val="18"/>
        </w:rPr>
      </w:pPr>
      <w:r w:rsidRPr="00CA6191">
        <w:rPr>
          <w:rFonts w:cstheme="minorHAnsi"/>
          <w:b/>
        </w:rPr>
        <w:t xml:space="preserve"> </w:t>
      </w:r>
      <w:r w:rsidR="006726A2" w:rsidRPr="006726A2">
        <w:rPr>
          <w:rFonts w:cstheme="minorHAnsi"/>
          <w:b/>
        </w:rPr>
        <w:t>Co</w:t>
      </w:r>
      <w:r w:rsidR="009277AF" w:rsidRPr="006726A2">
        <w:rPr>
          <w:rFonts w:cstheme="minorHAnsi"/>
          <w:b/>
        </w:rPr>
        <w:t>urse</w:t>
      </w:r>
      <w:r w:rsidR="009277AF" w:rsidRPr="000076C0">
        <w:rPr>
          <w:rFonts w:cstheme="minorHAnsi"/>
          <w:b/>
        </w:rPr>
        <w:t xml:space="preserve"> Description: </w:t>
      </w:r>
      <w:r w:rsidR="003C5886">
        <w:rPr>
          <w:i/>
          <w:sz w:val="18"/>
        </w:rPr>
        <w:t xml:space="preserve">This series will address High-Level trends and expectations in accreditation in graduate medical education in internal medicine. It will discuss Gaps in care reflected in medical center quality data, priorities, and outcomes as well as trends and changes in patient care practice seen at UVA. Finally, we will cover </w:t>
      </w:r>
      <w:r w:rsidR="003C5886">
        <w:rPr>
          <w:sz w:val="18"/>
        </w:rPr>
        <w:t xml:space="preserve">topics from the clinical practice of </w:t>
      </w:r>
      <w:r w:rsidR="003C5886">
        <w:rPr>
          <w:i/>
          <w:sz w:val="18"/>
        </w:rPr>
        <w:t>Endocrinology, Nephrology and General Medicine that require additional representation due to the prevalence of education in other conference settings on other specialty areas in Internal Medicine.</w:t>
      </w:r>
    </w:p>
    <w:p w14:paraId="69B5E9CA" w14:textId="6FC6D84E" w:rsidR="004B1E82" w:rsidRPr="00F31558" w:rsidRDefault="009277AF" w:rsidP="00EC6B1F">
      <w:pPr>
        <w:pStyle w:val="NoSpacing"/>
        <w:rPr>
          <w:rFonts w:cstheme="minorHAnsi"/>
          <w:sz w:val="20"/>
        </w:rPr>
      </w:pPr>
      <w:r w:rsidRPr="000076C0">
        <w:rPr>
          <w:rFonts w:cstheme="minorHAnsi"/>
          <w:b/>
        </w:rPr>
        <w:t>Target Audience:</w:t>
      </w:r>
      <w:r w:rsidRPr="000076C0">
        <w:rPr>
          <w:rFonts w:cstheme="minorHAnsi"/>
        </w:rPr>
        <w:t xml:space="preserve"> </w:t>
      </w:r>
      <w:r w:rsidRPr="004B1E82">
        <w:rPr>
          <w:rFonts w:cstheme="minorHAnsi"/>
        </w:rPr>
        <w:t>Physicians</w:t>
      </w:r>
      <w:r w:rsidR="003C5886">
        <w:rPr>
          <w:rFonts w:cstheme="minorHAnsi"/>
        </w:rPr>
        <w:t>, Residents</w:t>
      </w:r>
    </w:p>
    <w:p w14:paraId="02D6C80D" w14:textId="77777777" w:rsidR="004B1E82" w:rsidRDefault="009277AF" w:rsidP="00EC6B1F">
      <w:pPr>
        <w:pStyle w:val="NoSpacing"/>
        <w:rPr>
          <w:rFonts w:cstheme="minorHAnsi"/>
          <w:b/>
        </w:rPr>
      </w:pPr>
      <w:r w:rsidRPr="000076C0">
        <w:rPr>
          <w:rFonts w:cstheme="minorHAnsi"/>
          <w:b/>
        </w:rPr>
        <w:t>Desired Outcomes:</w:t>
      </w:r>
      <w:r>
        <w:rPr>
          <w:rFonts w:cstheme="minorHAnsi"/>
          <w:b/>
        </w:rPr>
        <w:t xml:space="preserve"> </w:t>
      </w:r>
      <w:r w:rsidRPr="000076C0">
        <w:rPr>
          <w:rFonts w:cstheme="minorHAnsi"/>
          <w:b/>
        </w:rPr>
        <w:t xml:space="preserve"> </w:t>
      </w:r>
    </w:p>
    <w:p w14:paraId="728735DF" w14:textId="77777777" w:rsidR="006726A2" w:rsidRPr="00752140" w:rsidRDefault="006726A2" w:rsidP="009F58E7">
      <w:pPr>
        <w:pStyle w:val="BodyText"/>
        <w:spacing w:before="3" w:line="240" w:lineRule="exact"/>
        <w:ind w:left="360"/>
      </w:pPr>
      <w:r w:rsidRPr="00752140">
        <w:t>At the conclusion of this activity, participants should be able to:</w:t>
      </w:r>
    </w:p>
    <w:p w14:paraId="482A961C" w14:textId="77777777" w:rsidR="006726A2" w:rsidRPr="006726A2" w:rsidRDefault="006726A2" w:rsidP="009F58E7">
      <w:pPr>
        <w:pStyle w:val="BodyText"/>
        <w:numPr>
          <w:ilvl w:val="0"/>
          <w:numId w:val="3"/>
        </w:numPr>
        <w:spacing w:line="240" w:lineRule="exact"/>
      </w:pPr>
      <w:r w:rsidRPr="006726A2">
        <w:t>Incorporate new guidelines, techniques, and recent research into clinical practice based on the concepts shared in this series.</w:t>
      </w:r>
    </w:p>
    <w:p w14:paraId="24CD91CE" w14:textId="77777777" w:rsidR="006726A2" w:rsidRPr="006726A2" w:rsidRDefault="006726A2" w:rsidP="009F58E7">
      <w:pPr>
        <w:pStyle w:val="BodyText"/>
        <w:numPr>
          <w:ilvl w:val="0"/>
          <w:numId w:val="3"/>
        </w:numPr>
        <w:spacing w:line="240" w:lineRule="exact"/>
      </w:pPr>
      <w:r w:rsidRPr="006726A2">
        <w:t>Discuss current clinical cases in the context of evidence-based medicine to identify appropriate screenings and treatments for patients.</w:t>
      </w:r>
    </w:p>
    <w:p w14:paraId="7D5F594F" w14:textId="77777777" w:rsidR="006726A2" w:rsidRPr="006726A2" w:rsidRDefault="006726A2" w:rsidP="009F58E7">
      <w:pPr>
        <w:pStyle w:val="BodyText"/>
        <w:numPr>
          <w:ilvl w:val="0"/>
          <w:numId w:val="3"/>
        </w:numPr>
        <w:spacing w:line="240" w:lineRule="exact"/>
      </w:pPr>
      <w:r w:rsidRPr="006726A2">
        <w:t>Improve healthcare outcomes by regularly and frequently engaging the healthcare team in up-to-date and evidence-based education.</w:t>
      </w:r>
    </w:p>
    <w:p w14:paraId="4DF224DC" w14:textId="77777777" w:rsidR="006726A2" w:rsidRPr="006726A2" w:rsidRDefault="006726A2" w:rsidP="009F58E7">
      <w:pPr>
        <w:pStyle w:val="BodyText"/>
        <w:numPr>
          <w:ilvl w:val="0"/>
          <w:numId w:val="3"/>
        </w:numPr>
        <w:spacing w:line="240" w:lineRule="exact"/>
      </w:pPr>
      <w:r w:rsidRPr="006726A2">
        <w:t>the maintenance, improvement, and broadening of knowledge and skills throughout your professional life through attendance at this regularly scheduled series.</w:t>
      </w:r>
    </w:p>
    <w:p w14:paraId="5D7CDAD2" w14:textId="77777777" w:rsidR="006726A2" w:rsidRPr="006726A2" w:rsidRDefault="006726A2" w:rsidP="009F58E7">
      <w:pPr>
        <w:pStyle w:val="BodyText"/>
        <w:numPr>
          <w:ilvl w:val="0"/>
          <w:numId w:val="3"/>
        </w:numPr>
        <w:spacing w:line="240" w:lineRule="exact"/>
      </w:pPr>
      <w:r w:rsidRPr="006726A2">
        <w:t>Incorporate systems-based and practice-based processes to improve patient safety and quality in healthcare.</w:t>
      </w:r>
    </w:p>
    <w:p w14:paraId="19E38E65" w14:textId="77777777" w:rsidR="006726A2" w:rsidRPr="006726A2" w:rsidRDefault="006726A2" w:rsidP="009F58E7">
      <w:pPr>
        <w:pStyle w:val="BodyText"/>
        <w:numPr>
          <w:ilvl w:val="0"/>
          <w:numId w:val="3"/>
        </w:numPr>
        <w:spacing w:line="240" w:lineRule="exact"/>
      </w:pPr>
      <w:r w:rsidRPr="006726A2">
        <w:t>Communicate effectively with clinical colleagues by incorporating interprofessional discussion techniques and patient-centered strategies, as appropriate.</w:t>
      </w:r>
    </w:p>
    <w:p w14:paraId="5983C73B" w14:textId="406BAEB3" w:rsidR="009277AF" w:rsidRPr="00D22FDE" w:rsidRDefault="006726A2" w:rsidP="009F58E7">
      <w:pPr>
        <w:pStyle w:val="BodyText"/>
        <w:numPr>
          <w:ilvl w:val="0"/>
          <w:numId w:val="3"/>
        </w:numPr>
        <w:spacing w:line="240" w:lineRule="exact"/>
      </w:pPr>
      <w:r w:rsidRPr="006726A2">
        <w:t>Analyze published outcome results and apply to current</w:t>
      </w:r>
    </w:p>
    <w:p w14:paraId="342D9B7F" w14:textId="77777777" w:rsidR="006726A2" w:rsidRPr="00E946B7" w:rsidRDefault="006726A2" w:rsidP="009277AF">
      <w:pPr>
        <w:pStyle w:val="NoSpacing"/>
        <w:rPr>
          <w:b/>
          <w:sz w:val="10"/>
          <w:szCs w:val="16"/>
        </w:rPr>
      </w:pPr>
    </w:p>
    <w:p w14:paraId="2F7F13CD" w14:textId="77777777" w:rsidR="009277AF" w:rsidRDefault="009277AF" w:rsidP="009277AF">
      <w:pPr>
        <w:pStyle w:val="NoSpacing"/>
        <w:rPr>
          <w:b/>
        </w:rPr>
      </w:pPr>
      <w:r w:rsidRPr="000076C0">
        <w:rPr>
          <w:b/>
        </w:rPr>
        <w:t>Accreditation &amp; Designation Statements</w:t>
      </w:r>
      <w:r w:rsidR="00EC6B1F">
        <w:rPr>
          <w:b/>
        </w:rPr>
        <w:t>:</w:t>
      </w:r>
      <w:r>
        <w:rPr>
          <w:b/>
        </w:rPr>
        <w:t xml:space="preserve"> </w:t>
      </w:r>
    </w:p>
    <w:p w14:paraId="3927727E" w14:textId="469A06D0" w:rsidR="00EC6B1F" w:rsidRDefault="00EC6B1F" w:rsidP="009277AF">
      <w:pPr>
        <w:pStyle w:val="NoSpacing"/>
        <w:rPr>
          <w:rFonts w:cstheme="minorHAnsi"/>
          <w:sz w:val="20"/>
        </w:rPr>
      </w:pPr>
      <w:r w:rsidRPr="000076C0">
        <w:rPr>
          <w:rFonts w:cstheme="minorHAnsi"/>
          <w:noProof/>
          <w:sz w:val="20"/>
        </w:rPr>
        <w:lastRenderedPageBreak/>
        <w:drawing>
          <wp:anchor distT="0" distB="0" distL="114300" distR="114300" simplePos="0" relativeHeight="251660288" behindDoc="1" locked="0" layoutInCell="1" allowOverlap="1" wp14:anchorId="0A298034" wp14:editId="744BAA35">
            <wp:simplePos x="0" y="0"/>
            <wp:positionH relativeFrom="column">
              <wp:posOffset>-53975</wp:posOffset>
            </wp:positionH>
            <wp:positionV relativeFrom="paragraph">
              <wp:posOffset>121285</wp:posOffset>
            </wp:positionV>
            <wp:extent cx="981075" cy="656590"/>
            <wp:effectExtent l="0" t="0" r="9525" b="0"/>
            <wp:wrapTight wrapText="bothSides">
              <wp:wrapPolygon edited="0">
                <wp:start x="0" y="0"/>
                <wp:lineTo x="0" y="20681"/>
                <wp:lineTo x="21390" y="20681"/>
                <wp:lineTo x="21390" y="0"/>
                <wp:lineTo x="0" y="0"/>
              </wp:wrapPolygon>
            </wp:wrapTight>
            <wp:docPr id="8" name="Picture 8" descr="C:\Users\acesys\Desktop\JA logoStat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cesys\Desktop\JA logoStatement.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7603" r="76118" b="10051"/>
                    <a:stretch/>
                  </pic:blipFill>
                  <pic:spPr bwMode="auto">
                    <a:xfrm>
                      <a:off x="0" y="0"/>
                      <a:ext cx="981075" cy="656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1E1C11" w14:textId="77777777" w:rsidR="00D22FDE" w:rsidRDefault="00EC6B1F" w:rsidP="00D22FDE">
      <w:pPr>
        <w:pStyle w:val="NoSpacing"/>
        <w:rPr>
          <w:rFonts w:cstheme="minorHAnsi"/>
          <w:sz w:val="20"/>
        </w:rPr>
      </w:pPr>
      <w:r w:rsidRPr="00EC6B1F">
        <w:rPr>
          <w:rFonts w:cstheme="minorHAnsi"/>
          <w:sz w:val="20"/>
        </w:rPr>
        <w:t>In support of improving patient care, the University of Virginia School of Medicine and School of Nursing is jointly accredited by the Accreditation Council for Continuing Medical Education (ACCME), the Accreditation Council for Pharmacy Education (ACPE), and the American Nurses Credentialing Center (ANCC), to provide continuing education for the healthcare team.</w:t>
      </w:r>
    </w:p>
    <w:p w14:paraId="0E5C2D69" w14:textId="77777777" w:rsidR="003C5886" w:rsidRDefault="003C5886" w:rsidP="00D22FDE">
      <w:pPr>
        <w:pStyle w:val="NoSpacing"/>
        <w:rPr>
          <w:rFonts w:cstheme="minorHAnsi"/>
          <w:sz w:val="20"/>
        </w:rPr>
      </w:pPr>
    </w:p>
    <w:p w14:paraId="5AD68C61" w14:textId="15CDAC6A" w:rsidR="00D22FDE" w:rsidRDefault="00D22FDE" w:rsidP="00D22FDE">
      <w:pPr>
        <w:pStyle w:val="NoSpacing"/>
        <w:rPr>
          <w:rFonts w:cstheme="minorHAnsi"/>
          <w:sz w:val="20"/>
        </w:rPr>
      </w:pPr>
      <w:r w:rsidRPr="000076C0">
        <w:rPr>
          <w:rFonts w:cstheme="minorHAnsi"/>
          <w:sz w:val="20"/>
        </w:rPr>
        <w:t xml:space="preserve">The University of Virginia School of Medicine and School of Nursing designates this live activity for a maximum of </w:t>
      </w:r>
      <w:r w:rsidRPr="00EC6B1F">
        <w:rPr>
          <w:rFonts w:cstheme="minorHAnsi"/>
          <w:b/>
          <w:sz w:val="20"/>
        </w:rPr>
        <w:t>1</w:t>
      </w:r>
      <w:r w:rsidRPr="000076C0">
        <w:rPr>
          <w:rFonts w:cstheme="minorHAnsi"/>
          <w:b/>
          <w:sz w:val="20"/>
        </w:rPr>
        <w:t xml:space="preserve"> </w:t>
      </w:r>
      <w:r>
        <w:rPr>
          <w:rFonts w:cstheme="minorHAnsi"/>
          <w:b/>
          <w:i/>
          <w:sz w:val="20"/>
        </w:rPr>
        <w:t xml:space="preserve">AMA PRA Category 1 </w:t>
      </w:r>
      <w:proofErr w:type="gramStart"/>
      <w:r>
        <w:rPr>
          <w:rFonts w:cstheme="minorHAnsi"/>
          <w:b/>
          <w:i/>
          <w:sz w:val="20"/>
        </w:rPr>
        <w:t>Credit</w:t>
      </w:r>
      <w:r w:rsidRPr="000076C0">
        <w:rPr>
          <w:rFonts w:cstheme="minorHAnsi"/>
          <w:i/>
          <w:sz w:val="20"/>
        </w:rPr>
        <w:t>.</w:t>
      </w:r>
      <w:r w:rsidRPr="000076C0">
        <w:rPr>
          <w:rFonts w:cstheme="minorHAnsi"/>
          <w:b/>
          <w:i/>
          <w:sz w:val="20"/>
          <w:vertAlign w:val="superscript"/>
        </w:rPr>
        <w:t>TM</w:t>
      </w:r>
      <w:r w:rsidRPr="000076C0">
        <w:rPr>
          <w:rFonts w:cstheme="minorHAnsi"/>
          <w:b/>
          <w:sz w:val="20"/>
        </w:rPr>
        <w:t xml:space="preserve">  </w:t>
      </w:r>
      <w:r w:rsidRPr="000076C0">
        <w:rPr>
          <w:rFonts w:cstheme="minorHAnsi"/>
          <w:sz w:val="20"/>
        </w:rPr>
        <w:t>Physicians</w:t>
      </w:r>
      <w:proofErr w:type="gramEnd"/>
      <w:r w:rsidRPr="000076C0">
        <w:rPr>
          <w:rFonts w:cstheme="minorHAnsi"/>
          <w:sz w:val="20"/>
        </w:rPr>
        <w:t xml:space="preserve"> should claim only the credit commensurate with the extent of their participation in the activity.</w:t>
      </w:r>
    </w:p>
    <w:p w14:paraId="4FE1E85A" w14:textId="77777777" w:rsidR="00215443" w:rsidRPr="00215443" w:rsidRDefault="00215443" w:rsidP="00215443">
      <w:pPr>
        <w:pStyle w:val="NoSpacing"/>
        <w:rPr>
          <w:rFonts w:cstheme="minorHAnsi"/>
          <w:sz w:val="20"/>
        </w:rPr>
      </w:pPr>
      <w:r w:rsidRPr="00215443">
        <w:rPr>
          <w:rFonts w:cstheme="minorHAnsi"/>
          <w:sz w:val="20"/>
        </w:rPr>
        <w:t xml:space="preserve">Successful completion of this CME activity, which includes participation in the evaluation component, enables the participant to earn up to </w:t>
      </w:r>
      <w:r w:rsidRPr="00215443">
        <w:rPr>
          <w:rFonts w:cstheme="minorHAnsi"/>
          <w:b/>
          <w:bCs/>
          <w:sz w:val="20"/>
        </w:rPr>
        <w:t>1 MOC point</w:t>
      </w:r>
      <w:r w:rsidRPr="00215443">
        <w:rPr>
          <w:rFonts w:cstheme="minorHAnsi"/>
          <w:sz w:val="20"/>
        </w:rPr>
        <w:t xml:space="preserve"> in the American Board of Internal Medicine’s (ABIM) Maintenance of Certification (MOC) program. It is the CME activity provider’s responsibility to submit participant completion information to ACCME for granting ABIM MOC credit. </w:t>
      </w:r>
    </w:p>
    <w:p w14:paraId="753398C4" w14:textId="5C239EA7" w:rsidR="006726A2" w:rsidRDefault="009277AF" w:rsidP="00D22FDE">
      <w:pPr>
        <w:pStyle w:val="NoSpacing"/>
        <w:rPr>
          <w:sz w:val="20"/>
        </w:rPr>
      </w:pPr>
      <w:r w:rsidRPr="004B2B1C">
        <w:rPr>
          <w:color w:val="000000"/>
          <w:sz w:val="20"/>
          <w:shd w:val="clear" w:color="auto" w:fill="FFFFFF"/>
        </w:rPr>
        <w:t xml:space="preserve">The University of Virginia School of Medicine and School of Nursing </w:t>
      </w:r>
      <w:r w:rsidRPr="004B2B1C">
        <w:rPr>
          <w:sz w:val="20"/>
        </w:rPr>
        <w:t>awards</w:t>
      </w:r>
      <w:r w:rsidRPr="00EC6B1F">
        <w:rPr>
          <w:sz w:val="20"/>
        </w:rPr>
        <w:t xml:space="preserve"> </w:t>
      </w:r>
      <w:r w:rsidRPr="00EC6B1F">
        <w:rPr>
          <w:b/>
          <w:sz w:val="20"/>
        </w:rPr>
        <w:t>1</w:t>
      </w:r>
      <w:r w:rsidRPr="00EC6B1F">
        <w:rPr>
          <w:b/>
          <w:i/>
          <w:iCs/>
          <w:sz w:val="20"/>
        </w:rPr>
        <w:t xml:space="preserve"> </w:t>
      </w:r>
      <w:r>
        <w:rPr>
          <w:b/>
          <w:sz w:val="20"/>
        </w:rPr>
        <w:t>hour</w:t>
      </w:r>
      <w:r w:rsidRPr="004B2B1C">
        <w:rPr>
          <w:b/>
          <w:sz w:val="20"/>
        </w:rPr>
        <w:t xml:space="preserve"> of participation</w:t>
      </w:r>
      <w:r w:rsidRPr="004B2B1C">
        <w:rPr>
          <w:b/>
          <w:bCs/>
          <w:sz w:val="20"/>
        </w:rPr>
        <w:t xml:space="preserve"> </w:t>
      </w:r>
      <w:r w:rsidRPr="004B2B1C">
        <w:rPr>
          <w:sz w:val="20"/>
        </w:rPr>
        <w:t xml:space="preserve">(consistent with the designated number of </w:t>
      </w:r>
      <w:r w:rsidRPr="004B2B1C">
        <w:rPr>
          <w:i/>
          <w:iCs/>
          <w:sz w:val="20"/>
        </w:rPr>
        <w:t xml:space="preserve">AMA PRA Category 1 </w:t>
      </w:r>
      <w:proofErr w:type="gramStart"/>
      <w:r w:rsidR="00EC6B1F">
        <w:rPr>
          <w:i/>
          <w:iCs/>
          <w:sz w:val="20"/>
        </w:rPr>
        <w:t>Credit</w:t>
      </w:r>
      <w:r w:rsidRPr="004B2B1C">
        <w:rPr>
          <w:i/>
          <w:iCs/>
          <w:sz w:val="20"/>
          <w:vertAlign w:val="superscript"/>
        </w:rPr>
        <w:t xml:space="preserve">TM  </w:t>
      </w:r>
      <w:r w:rsidRPr="004B2B1C">
        <w:rPr>
          <w:sz w:val="20"/>
        </w:rPr>
        <w:t>or</w:t>
      </w:r>
      <w:proofErr w:type="gramEnd"/>
      <w:r w:rsidRPr="004B2B1C">
        <w:rPr>
          <w:sz w:val="20"/>
        </w:rPr>
        <w:t xml:space="preserve"> ANCC contact hours) to a participant who successfully complete</w:t>
      </w:r>
      <w:r w:rsidRPr="004B2B1C">
        <w:rPr>
          <w:color w:val="000000"/>
          <w:sz w:val="20"/>
        </w:rPr>
        <w:t>s</w:t>
      </w:r>
      <w:r w:rsidRPr="004B2B1C">
        <w:rPr>
          <w:sz w:val="20"/>
        </w:rPr>
        <w:t xml:space="preserve"> this educational activity. The University of Virginia School of Medicine and School of Nursing maintains a record of participation for six (6) years.</w:t>
      </w:r>
    </w:p>
    <w:p w14:paraId="1D503729" w14:textId="35C09235" w:rsidR="00D238CC" w:rsidRPr="00D238CC" w:rsidRDefault="00D238CC" w:rsidP="00D238CC">
      <w:pPr>
        <w:spacing w:before="31" w:line="240" w:lineRule="auto"/>
        <w:rPr>
          <w:rFonts w:cstheme="minorHAnsi"/>
          <w:b/>
        </w:rPr>
      </w:pPr>
      <w:bookmarkStart w:id="0" w:name="_Hlk156980860"/>
      <w:r w:rsidRPr="00D238CC">
        <w:rPr>
          <w:rFonts w:cstheme="minorHAnsi"/>
          <w:b/>
        </w:rPr>
        <w:t xml:space="preserve">Below </w:t>
      </w:r>
      <w:r w:rsidR="009F58E7">
        <w:rPr>
          <w:rFonts w:cstheme="minorHAnsi"/>
          <w:b/>
        </w:rPr>
        <w:t>is</w:t>
      </w:r>
      <w:r w:rsidRPr="00D238CC">
        <w:rPr>
          <w:rFonts w:cstheme="minorHAnsi"/>
          <w:b/>
        </w:rPr>
        <w:t xml:space="preserve"> the code for </w:t>
      </w:r>
      <w:r>
        <w:rPr>
          <w:rFonts w:cstheme="minorHAnsi"/>
          <w:b/>
        </w:rPr>
        <w:t>the program today</w:t>
      </w:r>
      <w:r w:rsidRPr="00D238CC">
        <w:rPr>
          <w:rFonts w:cstheme="minorHAnsi"/>
          <w:b/>
        </w:rPr>
        <w:t>:</w:t>
      </w:r>
    </w:p>
    <w:p w14:paraId="2960DEB0" w14:textId="3B99D7E1" w:rsidR="00D238CC" w:rsidRPr="00D238CC" w:rsidRDefault="009F58E7" w:rsidP="00D238CC">
      <w:pPr>
        <w:spacing w:before="31" w:line="240" w:lineRule="auto"/>
        <w:rPr>
          <w:rFonts w:cstheme="minorHAnsi"/>
          <w:b/>
        </w:rPr>
      </w:pPr>
      <w:r>
        <w:rPr>
          <w:rFonts w:cstheme="minorHAnsi"/>
          <w:b/>
        </w:rPr>
        <w:t>10/03</w:t>
      </w:r>
      <w:r w:rsidR="00D238CC" w:rsidRPr="00D238CC">
        <w:rPr>
          <w:rFonts w:cstheme="minorHAnsi"/>
          <w:b/>
        </w:rPr>
        <w:t xml:space="preserve"> – 24</w:t>
      </w:r>
      <w:r>
        <w:rPr>
          <w:rFonts w:cstheme="minorHAnsi"/>
          <w:b/>
        </w:rPr>
        <w:t>640</w:t>
      </w:r>
      <w:r w:rsidR="00D238CC" w:rsidRPr="00D238CC">
        <w:rPr>
          <w:rFonts w:cstheme="minorHAnsi"/>
          <w:b/>
        </w:rPr>
        <w:t xml:space="preserve"> </w:t>
      </w:r>
    </w:p>
    <w:p w14:paraId="4624BBAC" w14:textId="39F00623" w:rsidR="006726A2" w:rsidRDefault="006726A2" w:rsidP="00B617AC">
      <w:pPr>
        <w:spacing w:before="31" w:line="240" w:lineRule="auto"/>
        <w:rPr>
          <w:rFonts w:cstheme="minorHAnsi"/>
          <w:bCs/>
          <w:sz w:val="18"/>
          <w:szCs w:val="18"/>
        </w:rPr>
      </w:pPr>
      <w:r w:rsidRPr="00215443">
        <w:rPr>
          <w:rFonts w:cstheme="minorHAnsi"/>
          <w:b/>
        </w:rPr>
        <w:t>Full Disclosure Policy Affecting CME Activities:</w:t>
      </w:r>
      <w:r w:rsidRPr="00215443">
        <w:rPr>
          <w:rFonts w:cstheme="minorHAnsi"/>
          <w:sz w:val="18"/>
          <w:szCs w:val="18"/>
        </w:rPr>
        <w:t xml:space="preserve"> </w:t>
      </w:r>
      <w:r w:rsidRPr="00215443">
        <w:rPr>
          <w:rFonts w:cstheme="minorHAnsi"/>
          <w:bCs/>
          <w:sz w:val="18"/>
          <w:szCs w:val="18"/>
        </w:rPr>
        <w:t>As</w:t>
      </w:r>
      <w:r w:rsidRPr="00D75F02">
        <w:rPr>
          <w:rFonts w:cstheme="minorHAnsi"/>
          <w:bCs/>
          <w:sz w:val="18"/>
          <w:szCs w:val="18"/>
        </w:rPr>
        <w:t xml:space="preserve"> a joint accredited provider, the University of Virginia Office of CME/CE requires attested and signed global disclosure of the existence of all financial interests or relationships with commercial interest from any individual in a position to control the content of a CME activity sponsored by OCME. </w:t>
      </w:r>
    </w:p>
    <w:p w14:paraId="69685917" w14:textId="2F937BFD" w:rsidR="006726A2" w:rsidRPr="003C5886" w:rsidRDefault="006726A2" w:rsidP="00B617AC">
      <w:pPr>
        <w:spacing w:before="31" w:line="240" w:lineRule="auto"/>
        <w:rPr>
          <w:rFonts w:cstheme="minorHAnsi"/>
          <w:sz w:val="20"/>
          <w:szCs w:val="20"/>
        </w:rPr>
      </w:pPr>
      <w:r w:rsidRPr="003C5886">
        <w:rPr>
          <w:rFonts w:cstheme="minorHAnsi"/>
          <w:b/>
          <w:bCs/>
          <w:sz w:val="20"/>
          <w:szCs w:val="20"/>
        </w:rPr>
        <w:t>No one in a position to control the content of this educational activity has disclosed a relevant financial interest or relationship with any commercial interest.</w:t>
      </w:r>
    </w:p>
    <w:bookmarkEnd w:id="0"/>
    <w:p w14:paraId="617103DA" w14:textId="4FF51288" w:rsidR="009277AF" w:rsidRPr="00C54AAB" w:rsidRDefault="009277AF" w:rsidP="009277AF">
      <w:pPr>
        <w:pStyle w:val="NoSpacing"/>
        <w:rPr>
          <w:rFonts w:cstheme="minorHAnsi"/>
          <w:b/>
          <w:sz w:val="20"/>
          <w:szCs w:val="20"/>
        </w:rPr>
      </w:pPr>
      <w:r w:rsidRPr="00C54AAB">
        <w:rPr>
          <w:rFonts w:cstheme="minorHAnsi"/>
          <w:b/>
          <w:sz w:val="20"/>
          <w:szCs w:val="20"/>
        </w:rPr>
        <w:t xml:space="preserve">Disclosure of faculty financial affiliations </w:t>
      </w:r>
    </w:p>
    <w:p w14:paraId="47AD9EF5" w14:textId="5D20B405" w:rsidR="009277AF" w:rsidRPr="00C54AAB" w:rsidRDefault="009277AF" w:rsidP="009277AF">
      <w:pPr>
        <w:pStyle w:val="NoSpacing"/>
        <w:rPr>
          <w:rFonts w:cstheme="minorHAnsi"/>
          <w:spacing w:val="-2"/>
          <w:sz w:val="20"/>
          <w:szCs w:val="20"/>
        </w:rPr>
      </w:pPr>
      <w:r w:rsidRPr="00C54AAB">
        <w:rPr>
          <w:rFonts w:cstheme="minorHAnsi"/>
          <w:spacing w:val="-2"/>
          <w:sz w:val="20"/>
          <w:szCs w:val="20"/>
        </w:rPr>
        <w:t xml:space="preserve">The University of Virginia School of Medicine and School of Nursing as a Joint Accreditation Provider adhere to the ACCME Standards for Integrity and Independence in Accredited Continuing Education, released in December 2020, as well as Commonwealth of Virginia statutes, University of Virginia policies and procedures, and associated federal and private regulations and guidelines. As the accredited provider for this CE/IPCE activity, we are responsible for ensuring that healthcare professionals have access to professional development activities that are based on best practices and scientific integrity that ultimately supports the care of patients and the public. </w:t>
      </w:r>
    </w:p>
    <w:p w14:paraId="6AB7F1E5" w14:textId="15DD1C2C" w:rsidR="009277AF" w:rsidRPr="00C54AAB" w:rsidRDefault="009277AF" w:rsidP="009277AF">
      <w:pPr>
        <w:pStyle w:val="NoSpacing"/>
        <w:rPr>
          <w:rFonts w:cstheme="minorHAnsi"/>
          <w:spacing w:val="-2"/>
          <w:sz w:val="20"/>
          <w:szCs w:val="20"/>
        </w:rPr>
      </w:pPr>
      <w:r w:rsidRPr="00C54AAB">
        <w:rPr>
          <w:rFonts w:cstheme="minorHAnsi"/>
          <w:spacing w:val="-2"/>
          <w:sz w:val="20"/>
          <w:szCs w:val="20"/>
        </w:rPr>
        <w:t xml:space="preserve">All individuals involved in the development and delivery of content for an accredited CE/IPCE activity are expected to disclose relevant financial relationships with ineligible companies occurring within the past 24 months (such as grants or research support, employee, consultant, stock holder, member of </w:t>
      </w:r>
      <w:r w:rsidR="006726A2" w:rsidRPr="00C54AAB">
        <w:rPr>
          <w:rFonts w:cstheme="minorHAnsi"/>
          <w:spacing w:val="-2"/>
          <w:sz w:val="20"/>
          <w:szCs w:val="20"/>
        </w:rPr>
        <w:t>speaker’s</w:t>
      </w:r>
      <w:r w:rsidRPr="00C54AAB">
        <w:rPr>
          <w:rFonts w:cstheme="minorHAnsi"/>
          <w:spacing w:val="-2"/>
          <w:sz w:val="20"/>
          <w:szCs w:val="20"/>
        </w:rPr>
        <w:t xml:space="preserve"> bureau, etc.).  The University of Virginia School of Medicine and School of Nursing employ appropriate mechanisms to resolve potential conflicts of interest and ensure the educational design reflects content validity, scientific rigor and balance for participants.  Questions about specific strategies can be directed to the University of Virginia School of Medicine and School of Nursing of the University of Virginia, Charlottesville, Virginia. </w:t>
      </w:r>
    </w:p>
    <w:p w14:paraId="2DC7D6AD" w14:textId="77777777" w:rsidR="009277AF" w:rsidRPr="00C54AAB" w:rsidRDefault="009277AF" w:rsidP="009277AF">
      <w:pPr>
        <w:pStyle w:val="NoSpacing"/>
        <w:rPr>
          <w:rFonts w:cstheme="minorHAnsi"/>
          <w:spacing w:val="-2"/>
          <w:sz w:val="20"/>
          <w:szCs w:val="20"/>
        </w:rPr>
      </w:pPr>
      <w:r w:rsidRPr="00C54AAB">
        <w:rPr>
          <w:rFonts w:cstheme="minorHAnsi"/>
          <w:spacing w:val="-2"/>
          <w:sz w:val="20"/>
          <w:szCs w:val="20"/>
        </w:rPr>
        <w:t>The faculty, staff and planning committee engaged in the development of this CE/IPCE activity in the Joint Accreditation CE Office of the School of Medicine and School of Nursing have no financial affiliations to disclose.</w:t>
      </w:r>
    </w:p>
    <w:p w14:paraId="668387AF" w14:textId="77777777" w:rsidR="00F31558" w:rsidRDefault="00F31558" w:rsidP="009277AF">
      <w:pPr>
        <w:pStyle w:val="NoSpacing"/>
        <w:rPr>
          <w:b/>
          <w:sz w:val="20"/>
          <w:szCs w:val="20"/>
        </w:rPr>
      </w:pPr>
    </w:p>
    <w:p w14:paraId="5EF9206F" w14:textId="77777777" w:rsidR="009277AF" w:rsidRPr="00C54AAB" w:rsidRDefault="009277AF" w:rsidP="009277AF">
      <w:pPr>
        <w:pStyle w:val="NoSpacing"/>
        <w:rPr>
          <w:b/>
          <w:sz w:val="20"/>
          <w:szCs w:val="20"/>
        </w:rPr>
      </w:pPr>
      <w:r w:rsidRPr="00C54AAB">
        <w:rPr>
          <w:b/>
          <w:sz w:val="20"/>
          <w:szCs w:val="20"/>
        </w:rPr>
        <w:t xml:space="preserve">Disclosure of discussion of non-FDA approved uses for pharmaceutical products and/or medical devices </w:t>
      </w:r>
    </w:p>
    <w:p w14:paraId="165E36B1" w14:textId="77777777" w:rsidR="009277AF" w:rsidRDefault="009277AF" w:rsidP="009277AF">
      <w:pPr>
        <w:pStyle w:val="NoSpacing"/>
        <w:rPr>
          <w:rFonts w:cstheme="minorHAnsi"/>
          <w:spacing w:val="-2"/>
          <w:sz w:val="20"/>
          <w:szCs w:val="20"/>
        </w:rPr>
      </w:pPr>
      <w:r w:rsidRPr="00C54AAB">
        <w:rPr>
          <w:rFonts w:cstheme="minorHAnsi"/>
          <w:spacing w:val="-2"/>
          <w:sz w:val="20"/>
          <w:szCs w:val="20"/>
        </w:rPr>
        <w:t>As a Joint Accreditation provider, the University of Virginia School of Medicine and School of Nursing, requires that all faculty presenters identify and disclose any off-label or experimental uses for pharmaceutical and medical device products. It is recommended that each clinician fully review all the available data on new products or procedures prior to clinical use.</w:t>
      </w:r>
    </w:p>
    <w:p w14:paraId="3764DB26" w14:textId="77777777" w:rsidR="009277AF" w:rsidRDefault="009277AF" w:rsidP="009277AF">
      <w:pPr>
        <w:pStyle w:val="NoSpacing"/>
        <w:rPr>
          <w:rFonts w:cstheme="minorHAnsi"/>
          <w:spacing w:val="-2"/>
          <w:sz w:val="20"/>
          <w:szCs w:val="20"/>
        </w:rPr>
      </w:pPr>
    </w:p>
    <w:p w14:paraId="3FA56CDB" w14:textId="235FDFF3" w:rsidR="00400C31" w:rsidRPr="00400C31" w:rsidRDefault="00400C31" w:rsidP="00400C31">
      <w:pPr>
        <w:spacing w:line="240" w:lineRule="auto"/>
        <w:rPr>
          <w:rFonts w:ascii="Georgia" w:hAnsi="Georgia"/>
          <w:sz w:val="18"/>
          <w:szCs w:val="20"/>
        </w:rPr>
      </w:pPr>
      <w:r w:rsidRPr="00400C31">
        <w:rPr>
          <w:rFonts w:ascii="Georgia" w:hAnsi="Georgia"/>
          <w:b/>
          <w:bCs/>
          <w:sz w:val="18"/>
          <w:szCs w:val="20"/>
        </w:rPr>
        <w:t>Dr. Ken White</w:t>
      </w:r>
      <w:r w:rsidRPr="00400C31">
        <w:rPr>
          <w:rFonts w:ascii="Georgia" w:hAnsi="Georgia"/>
          <w:sz w:val="18"/>
          <w:szCs w:val="20"/>
        </w:rPr>
        <w:t xml:space="preserve"> serves as Dean Emeritus of the School of Nursing at the MGH Institute of Health Professions in Boston. Prior to joining the IHP, Dr. White served as the Associate Dean for Strategic Partnerships in the School of Nursing and Endowed Professor of Nursing at the University of Virginia (UVA).  Previous to his time at UVA, Dr. White served as the Sentara Professor and directed the graduate programs in health administration at Virginia Commonwealth University (VCU) for twenty years. Dr. White holds Emeritus Professor appointments at both VCU and UVA</w:t>
      </w:r>
      <w:r w:rsidR="009F58E7">
        <w:rPr>
          <w:rFonts w:ascii="Georgia" w:hAnsi="Georgia"/>
          <w:sz w:val="18"/>
          <w:szCs w:val="20"/>
        </w:rPr>
        <w:t>.</w:t>
      </w:r>
    </w:p>
    <w:p w14:paraId="484DD664" w14:textId="77777777" w:rsidR="00400C31" w:rsidRPr="00400C31" w:rsidRDefault="00400C31" w:rsidP="00400C31">
      <w:pPr>
        <w:spacing w:line="240" w:lineRule="auto"/>
        <w:rPr>
          <w:rFonts w:ascii="Georgia" w:hAnsi="Georgia"/>
          <w:sz w:val="18"/>
          <w:szCs w:val="20"/>
        </w:rPr>
      </w:pPr>
      <w:proofErr w:type="spellStart"/>
      <w:r w:rsidRPr="00400C31">
        <w:rPr>
          <w:rFonts w:ascii="Georgia" w:hAnsi="Georgia"/>
          <w:sz w:val="18"/>
          <w:szCs w:val="20"/>
        </w:rPr>
        <w:t>He</w:t>
      </w:r>
      <w:proofErr w:type="spellEnd"/>
      <w:r w:rsidRPr="00400C31">
        <w:rPr>
          <w:rFonts w:ascii="Georgia" w:hAnsi="Georgia"/>
          <w:sz w:val="18"/>
          <w:szCs w:val="20"/>
        </w:rPr>
        <w:t xml:space="preserve"> has completed visiting professorships at the </w:t>
      </w:r>
      <w:proofErr w:type="spellStart"/>
      <w:r w:rsidRPr="00400C31">
        <w:rPr>
          <w:rFonts w:ascii="Georgia" w:hAnsi="Georgia"/>
          <w:sz w:val="18"/>
          <w:szCs w:val="20"/>
        </w:rPr>
        <w:t>Luiss</w:t>
      </w:r>
      <w:proofErr w:type="spellEnd"/>
      <w:r w:rsidRPr="00400C31">
        <w:rPr>
          <w:rFonts w:ascii="Georgia" w:hAnsi="Georgia"/>
          <w:sz w:val="18"/>
          <w:szCs w:val="20"/>
        </w:rPr>
        <w:t xml:space="preserve"> Business School in Rome and at the Swiss School of Public Health. He also has completed consultancies in the Republic of Kazakhstan, Guam, Micronesia, and the Republic of Palau.</w:t>
      </w:r>
    </w:p>
    <w:p w14:paraId="6D268315" w14:textId="77777777" w:rsidR="00400C31" w:rsidRPr="00400C31" w:rsidRDefault="00400C31" w:rsidP="00400C31">
      <w:pPr>
        <w:spacing w:line="240" w:lineRule="auto"/>
        <w:rPr>
          <w:rFonts w:ascii="Georgia" w:hAnsi="Georgia"/>
          <w:sz w:val="18"/>
          <w:szCs w:val="20"/>
        </w:rPr>
      </w:pPr>
      <w:r w:rsidRPr="00400C31">
        <w:rPr>
          <w:rFonts w:ascii="Georgia" w:hAnsi="Georgia"/>
          <w:sz w:val="18"/>
          <w:szCs w:val="20"/>
        </w:rPr>
        <w:t>Earlier in his career, Dr. White was an executive with the Mercy Health System, an international provider of health care, where he led the civilian hospital in Guam and served in various administrative roles with Mercy Health Center in Oklahoma City.</w:t>
      </w:r>
    </w:p>
    <w:p w14:paraId="2F3182CD" w14:textId="797FA4C7" w:rsidR="00B617AC" w:rsidRPr="00400C31" w:rsidRDefault="00400C31" w:rsidP="00400C31">
      <w:pPr>
        <w:spacing w:line="240" w:lineRule="auto"/>
        <w:rPr>
          <w:rFonts w:ascii="Georgia" w:hAnsi="Georgia"/>
          <w:sz w:val="18"/>
          <w:szCs w:val="20"/>
        </w:rPr>
      </w:pPr>
      <w:r w:rsidRPr="00400C31">
        <w:rPr>
          <w:rFonts w:ascii="Georgia" w:hAnsi="Georgia"/>
          <w:sz w:val="18"/>
          <w:szCs w:val="20"/>
        </w:rPr>
        <w:t xml:space="preserve">Dr. White is a Fellow in both the American Academy of Nursing and the American College of Healthcare Executives (ACHE). From 2021 to 2023, Dr. White served as the President of the American Academy of Nursing. Dr. White has been honored with ACHE’s Gold Medal Award (2019), VCU School of Nursing’s Outstanding Alumnus Award (2021), VCU College of Health Professions Lifetime Service and </w:t>
      </w:r>
      <w:r w:rsidRPr="00400C31">
        <w:rPr>
          <w:rFonts w:ascii="Georgia" w:hAnsi="Georgia"/>
          <w:sz w:val="18"/>
          <w:szCs w:val="20"/>
        </w:rPr>
        <w:lastRenderedPageBreak/>
        <w:t>Achievement Award (2023), and The DAISY Lifetime Achievement Award (2024). Also in 2024, Dr. White was named a Luminary Fellow (of the Academy of Diversity Leaders in Nursing (FADLN) by the National Black Nurses Association.</w:t>
      </w:r>
    </w:p>
    <w:sectPr w:rsidR="00B617AC" w:rsidRPr="00400C31" w:rsidSect="00CA61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0B8D"/>
    <w:multiLevelType w:val="hybridMultilevel"/>
    <w:tmpl w:val="8030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6B6FA0"/>
    <w:multiLevelType w:val="hybridMultilevel"/>
    <w:tmpl w:val="2AE8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1873CC"/>
    <w:multiLevelType w:val="hybridMultilevel"/>
    <w:tmpl w:val="45AE7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7AF"/>
    <w:rsid w:val="0002199A"/>
    <w:rsid w:val="000E59DE"/>
    <w:rsid w:val="00215443"/>
    <w:rsid w:val="00311294"/>
    <w:rsid w:val="003A241A"/>
    <w:rsid w:val="003C5886"/>
    <w:rsid w:val="00400C31"/>
    <w:rsid w:val="004B1E82"/>
    <w:rsid w:val="00655108"/>
    <w:rsid w:val="006726A2"/>
    <w:rsid w:val="00781A53"/>
    <w:rsid w:val="008E2BF0"/>
    <w:rsid w:val="009277AF"/>
    <w:rsid w:val="009B3587"/>
    <w:rsid w:val="009F58E7"/>
    <w:rsid w:val="00B2280C"/>
    <w:rsid w:val="00B617AC"/>
    <w:rsid w:val="00B9379E"/>
    <w:rsid w:val="00CA6191"/>
    <w:rsid w:val="00D22FDE"/>
    <w:rsid w:val="00D238CC"/>
    <w:rsid w:val="00D967A0"/>
    <w:rsid w:val="00EC6B1F"/>
    <w:rsid w:val="00F31558"/>
    <w:rsid w:val="00FE1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E5E363"/>
  <w15:chartTrackingRefBased/>
  <w15:docId w15:val="{6A2E7A35-148B-401C-B774-D2245D78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7AF"/>
    <w:pPr>
      <w:spacing w:after="200" w:line="276" w:lineRule="auto"/>
    </w:pPr>
  </w:style>
  <w:style w:type="paragraph" w:styleId="Heading1">
    <w:name w:val="heading 1"/>
    <w:basedOn w:val="Normal"/>
    <w:link w:val="Heading1Char"/>
    <w:uiPriority w:val="9"/>
    <w:qFormat/>
    <w:rsid w:val="006726A2"/>
    <w:pPr>
      <w:widowControl w:val="0"/>
      <w:autoSpaceDE w:val="0"/>
      <w:autoSpaceDN w:val="0"/>
      <w:spacing w:after="0" w:line="240" w:lineRule="auto"/>
      <w:ind w:left="112"/>
      <w:outlineLvl w:val="0"/>
    </w:pPr>
    <w:rPr>
      <w:rFonts w:ascii="Calibri" w:eastAsia="Calibri" w:hAnsi="Calibri" w:cs="Calibri"/>
      <w:b/>
      <w:bCs/>
      <w:lang w:bidi="en-US"/>
    </w:rPr>
  </w:style>
  <w:style w:type="paragraph" w:styleId="Heading2">
    <w:name w:val="heading 2"/>
    <w:basedOn w:val="Normal"/>
    <w:next w:val="Normal"/>
    <w:link w:val="Heading2Char"/>
    <w:uiPriority w:val="9"/>
    <w:semiHidden/>
    <w:unhideWhenUsed/>
    <w:qFormat/>
    <w:rsid w:val="006726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77AF"/>
    <w:pPr>
      <w:spacing w:after="0" w:line="240" w:lineRule="auto"/>
    </w:pPr>
    <w:rPr>
      <w:rFonts w:ascii="Calibri" w:eastAsia="Times New Roman" w:hAnsi="Calibri" w:cs="Times New Roman"/>
    </w:rPr>
  </w:style>
  <w:style w:type="paragraph" w:styleId="ListParagraph">
    <w:name w:val="List Paragraph"/>
    <w:basedOn w:val="Normal"/>
    <w:uiPriority w:val="34"/>
    <w:qFormat/>
    <w:rsid w:val="004B1E82"/>
    <w:pPr>
      <w:ind w:left="720"/>
      <w:contextualSpacing/>
    </w:pPr>
  </w:style>
  <w:style w:type="character" w:styleId="Hyperlink">
    <w:name w:val="Hyperlink"/>
    <w:basedOn w:val="DefaultParagraphFont"/>
    <w:uiPriority w:val="99"/>
    <w:semiHidden/>
    <w:unhideWhenUsed/>
    <w:rsid w:val="006726A2"/>
    <w:rPr>
      <w:color w:val="0563C1" w:themeColor="hyperlink"/>
      <w:u w:val="single"/>
    </w:rPr>
  </w:style>
  <w:style w:type="character" w:customStyle="1" w:styleId="Heading1Char">
    <w:name w:val="Heading 1 Char"/>
    <w:basedOn w:val="DefaultParagraphFont"/>
    <w:link w:val="Heading1"/>
    <w:uiPriority w:val="9"/>
    <w:rsid w:val="006726A2"/>
    <w:rPr>
      <w:rFonts w:ascii="Calibri" w:eastAsia="Calibri" w:hAnsi="Calibri" w:cs="Calibri"/>
      <w:b/>
      <w:bCs/>
      <w:lang w:bidi="en-US"/>
    </w:rPr>
  </w:style>
  <w:style w:type="paragraph" w:styleId="BodyText">
    <w:name w:val="Body Text"/>
    <w:basedOn w:val="Normal"/>
    <w:link w:val="BodyTextChar"/>
    <w:uiPriority w:val="1"/>
    <w:qFormat/>
    <w:rsid w:val="006726A2"/>
    <w:pPr>
      <w:widowControl w:val="0"/>
      <w:autoSpaceDE w:val="0"/>
      <w:autoSpaceDN w:val="0"/>
      <w:spacing w:after="0" w:line="240" w:lineRule="auto"/>
    </w:pPr>
    <w:rPr>
      <w:rFonts w:ascii="Calibri" w:eastAsia="Calibri" w:hAnsi="Calibri" w:cs="Calibri"/>
      <w:sz w:val="20"/>
      <w:szCs w:val="20"/>
      <w:lang w:bidi="en-US"/>
    </w:rPr>
  </w:style>
  <w:style w:type="character" w:customStyle="1" w:styleId="BodyTextChar">
    <w:name w:val="Body Text Char"/>
    <w:basedOn w:val="DefaultParagraphFont"/>
    <w:link w:val="BodyText"/>
    <w:uiPriority w:val="1"/>
    <w:rsid w:val="006726A2"/>
    <w:rPr>
      <w:rFonts w:ascii="Calibri" w:eastAsia="Calibri" w:hAnsi="Calibri" w:cs="Calibri"/>
      <w:sz w:val="20"/>
      <w:szCs w:val="20"/>
      <w:lang w:bidi="en-US"/>
    </w:rPr>
  </w:style>
  <w:style w:type="character" w:customStyle="1" w:styleId="Heading2Char">
    <w:name w:val="Heading 2 Char"/>
    <w:basedOn w:val="DefaultParagraphFont"/>
    <w:link w:val="Heading2"/>
    <w:uiPriority w:val="9"/>
    <w:semiHidden/>
    <w:rsid w:val="006726A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496589">
      <w:bodyDiv w:val="1"/>
      <w:marLeft w:val="0"/>
      <w:marRight w:val="0"/>
      <w:marTop w:val="0"/>
      <w:marBottom w:val="0"/>
      <w:divBdr>
        <w:top w:val="none" w:sz="0" w:space="0" w:color="auto"/>
        <w:left w:val="none" w:sz="0" w:space="0" w:color="auto"/>
        <w:bottom w:val="none" w:sz="0" w:space="0" w:color="auto"/>
        <w:right w:val="none" w:sz="0" w:space="0" w:color="auto"/>
      </w:divBdr>
    </w:div>
    <w:div w:id="728000068">
      <w:bodyDiv w:val="1"/>
      <w:marLeft w:val="0"/>
      <w:marRight w:val="0"/>
      <w:marTop w:val="0"/>
      <w:marBottom w:val="0"/>
      <w:divBdr>
        <w:top w:val="none" w:sz="0" w:space="0" w:color="auto"/>
        <w:left w:val="none" w:sz="0" w:space="0" w:color="auto"/>
        <w:bottom w:val="none" w:sz="0" w:space="0" w:color="auto"/>
        <w:right w:val="none" w:sz="0" w:space="0" w:color="auto"/>
      </w:divBdr>
    </w:div>
    <w:div w:id="1160656605">
      <w:bodyDiv w:val="1"/>
      <w:marLeft w:val="0"/>
      <w:marRight w:val="0"/>
      <w:marTop w:val="0"/>
      <w:marBottom w:val="0"/>
      <w:divBdr>
        <w:top w:val="none" w:sz="0" w:space="0" w:color="auto"/>
        <w:left w:val="none" w:sz="0" w:space="0" w:color="auto"/>
        <w:bottom w:val="none" w:sz="0" w:space="0" w:color="auto"/>
        <w:right w:val="none" w:sz="0" w:space="0" w:color="auto"/>
      </w:divBdr>
    </w:div>
    <w:div w:id="160118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UVA Health System</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Leo, Justin *HS</dc:creator>
  <cp:keywords/>
  <dc:description/>
  <cp:lastModifiedBy>Kaufman, Charlene M *HS</cp:lastModifiedBy>
  <cp:revision>2</cp:revision>
  <cp:lastPrinted>2024-09-11T18:26:00Z</cp:lastPrinted>
  <dcterms:created xsi:type="dcterms:W3CDTF">2024-09-19T20:20:00Z</dcterms:created>
  <dcterms:modified xsi:type="dcterms:W3CDTF">2024-09-19T20:20:00Z</dcterms:modified>
</cp:coreProperties>
</file>