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9ABF" w14:textId="65DE15DC" w:rsidR="00B136E8" w:rsidRDefault="00D24B7E" w:rsidP="00B136E8">
      <w:pPr>
        <w:pStyle w:val="NoSpacing"/>
        <w:jc w:val="center"/>
        <w:rPr>
          <w:rFonts w:ascii="Georgia" w:hAnsi="Georgia" w:cstheme="minorHAnsi"/>
          <w:b/>
          <w:sz w:val="28"/>
          <w:szCs w:val="28"/>
        </w:rPr>
      </w:pPr>
      <w:r>
        <w:rPr>
          <w:rFonts w:ascii="Georgia" w:hAnsi="Georgia" w:cstheme="minorHAnsi"/>
          <w:b/>
          <w:noProof/>
          <w:sz w:val="28"/>
          <w:szCs w:val="28"/>
        </w:rPr>
        <w:drawing>
          <wp:inline distT="0" distB="0" distL="0" distR="0" wp14:anchorId="0C7D8846" wp14:editId="3BC5ADE5">
            <wp:extent cx="2142836" cy="213401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3769" cy="2144906"/>
                    </a:xfrm>
                    <a:prstGeom prst="rect">
                      <a:avLst/>
                    </a:prstGeom>
                    <a:noFill/>
                  </pic:spPr>
                </pic:pic>
              </a:graphicData>
            </a:graphic>
          </wp:inline>
        </w:drawing>
      </w:r>
    </w:p>
    <w:p w14:paraId="7F90D2AC" w14:textId="4AB8B194" w:rsidR="00CA6191" w:rsidRPr="000939D5" w:rsidRDefault="008125D6" w:rsidP="00B136E8">
      <w:pPr>
        <w:pStyle w:val="NoSpacing"/>
        <w:jc w:val="center"/>
        <w:rPr>
          <w:rFonts w:ascii="Georgia" w:hAnsi="Georgia" w:cstheme="minorHAnsi"/>
          <w:b/>
          <w:sz w:val="24"/>
          <w:szCs w:val="24"/>
        </w:rPr>
      </w:pPr>
      <w:r>
        <w:rPr>
          <w:rFonts w:ascii="Georgia" w:hAnsi="Georgia" w:cstheme="minorHAnsi"/>
          <w:b/>
          <w:sz w:val="24"/>
          <w:szCs w:val="24"/>
        </w:rPr>
        <w:t>Thursday</w:t>
      </w:r>
      <w:r w:rsidR="000E19C2" w:rsidRPr="000939D5">
        <w:rPr>
          <w:rFonts w:ascii="Georgia" w:hAnsi="Georgia" w:cstheme="minorHAnsi"/>
          <w:b/>
          <w:sz w:val="24"/>
          <w:szCs w:val="24"/>
        </w:rPr>
        <w:t xml:space="preserve">, </w:t>
      </w:r>
      <w:r w:rsidR="00E23C72">
        <w:rPr>
          <w:rFonts w:ascii="Georgia" w:hAnsi="Georgia" w:cstheme="minorHAnsi"/>
          <w:b/>
          <w:sz w:val="24"/>
          <w:szCs w:val="24"/>
        </w:rPr>
        <w:t xml:space="preserve">October </w:t>
      </w:r>
      <w:r w:rsidR="00AC2421">
        <w:rPr>
          <w:rFonts w:ascii="Georgia" w:hAnsi="Georgia" w:cstheme="minorHAnsi"/>
          <w:b/>
          <w:sz w:val="24"/>
          <w:szCs w:val="24"/>
        </w:rPr>
        <w:t>30</w:t>
      </w:r>
      <w:r w:rsidR="000953C1" w:rsidRPr="000939D5">
        <w:rPr>
          <w:rFonts w:ascii="Georgia" w:hAnsi="Georgia" w:cstheme="minorHAnsi"/>
          <w:b/>
          <w:sz w:val="24"/>
          <w:szCs w:val="24"/>
        </w:rPr>
        <w:t>, 2025</w:t>
      </w:r>
      <w:r w:rsidR="00CA6191" w:rsidRPr="000939D5">
        <w:rPr>
          <w:rFonts w:ascii="Georgia" w:hAnsi="Georgia" w:cstheme="minorHAnsi"/>
          <w:b/>
          <w:sz w:val="24"/>
          <w:szCs w:val="24"/>
        </w:rPr>
        <w:t xml:space="preserve"> | 12:</w:t>
      </w:r>
      <w:r w:rsidR="000953C1" w:rsidRPr="000939D5">
        <w:rPr>
          <w:rFonts w:ascii="Georgia" w:hAnsi="Georgia" w:cstheme="minorHAnsi"/>
          <w:b/>
          <w:sz w:val="24"/>
          <w:szCs w:val="24"/>
        </w:rPr>
        <w:t>00</w:t>
      </w:r>
      <w:r w:rsidR="00CA6191" w:rsidRPr="000939D5">
        <w:rPr>
          <w:rFonts w:ascii="Georgia" w:hAnsi="Georgia" w:cstheme="minorHAnsi"/>
          <w:b/>
          <w:sz w:val="24"/>
          <w:szCs w:val="24"/>
        </w:rPr>
        <w:t xml:space="preserve"> to 1:</w:t>
      </w:r>
      <w:r w:rsidR="000953C1" w:rsidRPr="000939D5">
        <w:rPr>
          <w:rFonts w:ascii="Georgia" w:hAnsi="Georgia" w:cstheme="minorHAnsi"/>
          <w:b/>
          <w:sz w:val="24"/>
          <w:szCs w:val="24"/>
        </w:rPr>
        <w:t>00</w:t>
      </w:r>
    </w:p>
    <w:p w14:paraId="0931F990" w14:textId="5E221D1F" w:rsidR="000939D5" w:rsidRPr="000939D5" w:rsidRDefault="00B136E8" w:rsidP="000939D5">
      <w:pPr>
        <w:pStyle w:val="NoSpacing"/>
        <w:jc w:val="center"/>
        <w:rPr>
          <w:rFonts w:ascii="Georgia" w:hAnsi="Georgia" w:cstheme="minorHAnsi"/>
          <w:b/>
          <w:sz w:val="24"/>
          <w:szCs w:val="24"/>
        </w:rPr>
      </w:pPr>
      <w:r w:rsidRPr="000939D5">
        <w:rPr>
          <w:rFonts w:ascii="Georgia" w:hAnsi="Georgia" w:cstheme="minorHAnsi"/>
          <w:b/>
          <w:sz w:val="24"/>
          <w:szCs w:val="24"/>
        </w:rPr>
        <w:t xml:space="preserve">In Person at the </w:t>
      </w:r>
      <w:r w:rsidR="00E23C72">
        <w:rPr>
          <w:rFonts w:ascii="Georgia" w:hAnsi="Georgia" w:cstheme="minorHAnsi"/>
          <w:b/>
          <w:sz w:val="24"/>
          <w:szCs w:val="24"/>
        </w:rPr>
        <w:t>Pinn Hall Conference Center Auditorium</w:t>
      </w:r>
    </w:p>
    <w:p w14:paraId="6E027D5C" w14:textId="47079B8B" w:rsidR="00363F78" w:rsidRPr="000939D5" w:rsidRDefault="00400C31" w:rsidP="000939D5">
      <w:pPr>
        <w:pStyle w:val="NoSpacing"/>
        <w:jc w:val="center"/>
        <w:rPr>
          <w:rFonts w:ascii="Georgia" w:hAnsi="Georgia"/>
          <w:sz w:val="24"/>
          <w:szCs w:val="24"/>
        </w:rPr>
      </w:pPr>
      <w:r w:rsidRPr="000939D5">
        <w:rPr>
          <w:rFonts w:ascii="Georgia" w:hAnsi="Georgia" w:cstheme="minorHAnsi"/>
          <w:b/>
          <w:sz w:val="24"/>
          <w:szCs w:val="24"/>
        </w:rPr>
        <w:t>Zoom</w:t>
      </w:r>
      <w:r w:rsidR="00363F78" w:rsidRPr="000939D5">
        <w:rPr>
          <w:rFonts w:ascii="Georgia" w:hAnsi="Georgia" w:cstheme="minorHAnsi"/>
          <w:b/>
          <w:sz w:val="24"/>
          <w:szCs w:val="24"/>
        </w:rPr>
        <w:t>:</w:t>
      </w:r>
      <w:r w:rsidR="000C1801" w:rsidRPr="000C1801">
        <w:t xml:space="preserve"> </w:t>
      </w:r>
      <w:hyperlink r:id="rId6" w:history="1">
        <w:r w:rsidR="000C1801" w:rsidRPr="000C1801">
          <w:rPr>
            <w:rStyle w:val="Hyperlink"/>
            <w:rFonts w:ascii="Georgia" w:hAnsi="Georgia" w:cstheme="minorHAnsi"/>
            <w:b/>
            <w:sz w:val="24"/>
            <w:szCs w:val="24"/>
          </w:rPr>
          <w:t>https://us02web.zoom.us/j/89105967067</w:t>
        </w:r>
      </w:hyperlink>
    </w:p>
    <w:p w14:paraId="3481A7B4" w14:textId="67F08E66" w:rsidR="00BF7DB3" w:rsidRDefault="00BF7DB3" w:rsidP="00BF7DB3">
      <w:pPr>
        <w:pStyle w:val="NoSpacing"/>
        <w:jc w:val="center"/>
        <w:rPr>
          <w:rFonts w:ascii="Georgia" w:hAnsi="Georgia" w:cstheme="minorHAnsi"/>
          <w:b/>
          <w:color w:val="0563C1" w:themeColor="hyperlink"/>
          <w:sz w:val="24"/>
          <w:szCs w:val="24"/>
          <w:u w:val="single"/>
        </w:rPr>
      </w:pPr>
    </w:p>
    <w:p w14:paraId="657CD04F" w14:textId="4498EB76" w:rsidR="00AC2421" w:rsidRPr="00392D9A" w:rsidRDefault="00AC2421" w:rsidP="00AC2421">
      <w:pPr>
        <w:pStyle w:val="NoSpacing"/>
        <w:spacing w:line="240" w:lineRule="exact"/>
        <w:jc w:val="center"/>
        <w:rPr>
          <w:rFonts w:ascii="Georgia" w:hAnsi="Georgia" w:cstheme="minorHAnsi"/>
          <w:i/>
          <w:iCs/>
          <w:color w:val="44546A" w:themeColor="text2"/>
          <w:sz w:val="24"/>
          <w:szCs w:val="24"/>
        </w:rPr>
      </w:pPr>
      <w:r w:rsidRPr="00392D9A">
        <w:rPr>
          <w:rFonts w:ascii="Georgia" w:hAnsi="Georgia"/>
          <w:i/>
          <w:iCs/>
          <w:color w:val="44546A" w:themeColor="text2"/>
          <w:sz w:val="24"/>
          <w:szCs w:val="24"/>
        </w:rPr>
        <w:t>K</w:t>
      </w:r>
      <w:r w:rsidR="00392D9A" w:rsidRPr="00392D9A">
        <w:rPr>
          <w:rFonts w:ascii="Georgia" w:hAnsi="Georgia"/>
          <w:i/>
          <w:iCs/>
          <w:color w:val="44546A" w:themeColor="text2"/>
          <w:sz w:val="24"/>
          <w:szCs w:val="24"/>
        </w:rPr>
        <w:t>opp</w:t>
      </w:r>
      <w:r w:rsidR="00C2518D">
        <w:rPr>
          <w:rFonts w:ascii="Georgia" w:hAnsi="Georgia"/>
          <w:i/>
          <w:iCs/>
          <w:color w:val="44546A" w:themeColor="text2"/>
          <w:sz w:val="24"/>
          <w:szCs w:val="24"/>
        </w:rPr>
        <w:t>a</w:t>
      </w:r>
      <w:r w:rsidR="00392D9A" w:rsidRPr="00392D9A">
        <w:rPr>
          <w:rFonts w:ascii="Georgia" w:hAnsi="Georgia"/>
          <w:i/>
          <w:iCs/>
          <w:color w:val="44546A" w:themeColor="text2"/>
          <w:sz w:val="24"/>
          <w:szCs w:val="24"/>
        </w:rPr>
        <w:t>ka</w:t>
      </w:r>
      <w:r w:rsidRPr="00392D9A">
        <w:rPr>
          <w:rFonts w:ascii="Georgia" w:hAnsi="Georgia"/>
          <w:i/>
          <w:iCs/>
          <w:color w:val="44546A" w:themeColor="text2"/>
          <w:sz w:val="24"/>
          <w:szCs w:val="24"/>
        </w:rPr>
        <w:t xml:space="preserve"> V. </w:t>
      </w:r>
      <w:r w:rsidR="00392D9A" w:rsidRPr="00392D9A">
        <w:rPr>
          <w:rFonts w:ascii="Georgia" w:hAnsi="Georgia"/>
          <w:i/>
          <w:iCs/>
          <w:color w:val="44546A" w:themeColor="text2"/>
          <w:sz w:val="24"/>
          <w:szCs w:val="24"/>
        </w:rPr>
        <w:t xml:space="preserve">Rao </w:t>
      </w:r>
      <w:r w:rsidR="00392D9A" w:rsidRPr="00392D9A">
        <w:rPr>
          <w:rFonts w:ascii="Georgia" w:hAnsi="Georgia" w:cstheme="minorHAnsi"/>
          <w:i/>
          <w:iCs/>
          <w:color w:val="44546A" w:themeColor="text2"/>
          <w:sz w:val="24"/>
          <w:szCs w:val="24"/>
        </w:rPr>
        <w:t>Memorial</w:t>
      </w:r>
      <w:r w:rsidRPr="00392D9A">
        <w:rPr>
          <w:rFonts w:ascii="Georgia" w:hAnsi="Georgia" w:cstheme="minorHAnsi"/>
          <w:i/>
          <w:iCs/>
          <w:color w:val="44546A" w:themeColor="text2"/>
          <w:sz w:val="24"/>
          <w:szCs w:val="24"/>
        </w:rPr>
        <w:t xml:space="preserve"> Lecture</w:t>
      </w:r>
    </w:p>
    <w:p w14:paraId="2F9E740D" w14:textId="7E3229DC" w:rsidR="00AC2421" w:rsidRPr="00AC2421" w:rsidRDefault="00AC2421" w:rsidP="00AC2421">
      <w:pPr>
        <w:pStyle w:val="NoSpacing"/>
        <w:spacing w:line="240" w:lineRule="exact"/>
        <w:jc w:val="center"/>
        <w:rPr>
          <w:rFonts w:ascii="Georgia" w:hAnsi="Georgia" w:cstheme="minorHAnsi"/>
          <w:b/>
          <w:color w:val="2F5496" w:themeColor="accent5" w:themeShade="BF"/>
          <w:sz w:val="28"/>
          <w:szCs w:val="28"/>
        </w:rPr>
      </w:pPr>
      <w:r w:rsidRPr="00AC2421">
        <w:rPr>
          <w:rFonts w:ascii="Georgia" w:hAnsi="Georgia" w:cstheme="minorHAnsi"/>
          <w:b/>
          <w:color w:val="2F5496" w:themeColor="accent5" w:themeShade="BF"/>
          <w:sz w:val="28"/>
          <w:szCs w:val="28"/>
        </w:rPr>
        <w:t>Cochlear Implants, Curative Rhetoric, and Communication Choices: Understanding the Complications of Patient Decisions</w:t>
      </w:r>
    </w:p>
    <w:p w14:paraId="5CDFB25E" w14:textId="77777777" w:rsidR="00C82079" w:rsidRPr="000939D5" w:rsidRDefault="00C82079" w:rsidP="00081F35">
      <w:pPr>
        <w:pStyle w:val="NoSpacing"/>
        <w:spacing w:line="240" w:lineRule="exact"/>
        <w:jc w:val="center"/>
        <w:rPr>
          <w:rFonts w:ascii="Georgia" w:eastAsiaTheme="minorHAnsi" w:hAnsi="Georgia" w:cstheme="minorHAnsi"/>
          <w:b/>
          <w:sz w:val="28"/>
          <w:szCs w:val="28"/>
        </w:rPr>
      </w:pPr>
    </w:p>
    <w:p w14:paraId="274079E6" w14:textId="741C951B" w:rsidR="00AC33FC" w:rsidRDefault="00392D9A" w:rsidP="004B6B8E">
      <w:pPr>
        <w:pStyle w:val="NoSpacing"/>
        <w:jc w:val="center"/>
        <w:rPr>
          <w:rFonts w:ascii="Georgia" w:eastAsiaTheme="minorEastAsia" w:hAnsi="Georgia" w:cstheme="minorBidi"/>
          <w:b/>
          <w:bCs/>
          <w:kern w:val="24"/>
          <w:sz w:val="36"/>
          <w:szCs w:val="36"/>
        </w:rPr>
      </w:pPr>
      <w:r>
        <w:rPr>
          <w:rFonts w:ascii="Georgia" w:eastAsiaTheme="minorEastAsia" w:hAnsi="Georgia" w:cstheme="minorBidi"/>
          <w:b/>
          <w:bCs/>
          <w:noProof/>
          <w:kern w:val="24"/>
          <w:sz w:val="36"/>
          <w:szCs w:val="36"/>
        </w:rPr>
        <w:drawing>
          <wp:inline distT="0" distB="0" distL="0" distR="0" wp14:anchorId="07911F87" wp14:editId="1DD1D540">
            <wp:extent cx="1108364" cy="1034415"/>
            <wp:effectExtent l="0" t="0" r="0" b="0"/>
            <wp:docPr id="1989187291" name="Picture 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87291" name="Picture 3" descr="A person smiling at camera&#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38167" cy="1062229"/>
                    </a:xfrm>
                    <a:prstGeom prst="rect">
                      <a:avLst/>
                    </a:prstGeom>
                  </pic:spPr>
                </pic:pic>
              </a:graphicData>
            </a:graphic>
          </wp:inline>
        </w:drawing>
      </w:r>
    </w:p>
    <w:p w14:paraId="56F1E902" w14:textId="77777777" w:rsidR="00C82079" w:rsidRDefault="00C82079" w:rsidP="00081F35">
      <w:pPr>
        <w:pStyle w:val="NoSpacing"/>
        <w:spacing w:line="240" w:lineRule="exact"/>
        <w:jc w:val="center"/>
        <w:rPr>
          <w:rFonts w:ascii="Georgia" w:eastAsiaTheme="minorEastAsia" w:hAnsi="Georgia" w:cstheme="minorBidi"/>
          <w:b/>
          <w:bCs/>
          <w:kern w:val="24"/>
          <w:sz w:val="36"/>
          <w:szCs w:val="36"/>
        </w:rPr>
      </w:pPr>
    </w:p>
    <w:p w14:paraId="04C0E8C5" w14:textId="54625322" w:rsidR="00E23C72" w:rsidRPr="00E23C72" w:rsidRDefault="00392D9A" w:rsidP="00392D9A">
      <w:pPr>
        <w:pStyle w:val="NoSpacing"/>
        <w:spacing w:line="280" w:lineRule="exact"/>
        <w:jc w:val="center"/>
        <w:rPr>
          <w:rFonts w:ascii="Georgia" w:eastAsiaTheme="minorEastAsia" w:hAnsi="Georgia"/>
          <w:color w:val="44546A" w:themeColor="text2"/>
          <w:kern w:val="24"/>
          <w:sz w:val="28"/>
          <w:szCs w:val="28"/>
        </w:rPr>
      </w:pPr>
      <w:r w:rsidRPr="00392D9A">
        <w:rPr>
          <w:rFonts w:ascii="Georgia" w:eastAsiaTheme="minorEastAsia" w:hAnsi="Georgia"/>
          <w:b/>
          <w:bCs/>
          <w:color w:val="44546A" w:themeColor="text2"/>
          <w:kern w:val="24"/>
          <w:sz w:val="28"/>
          <w:szCs w:val="28"/>
        </w:rPr>
        <w:t xml:space="preserve">Rachel Kolb, Ph.D., author of </w:t>
      </w:r>
      <w:r w:rsidRPr="00392D9A">
        <w:rPr>
          <w:rFonts w:ascii="Georgia" w:eastAsiaTheme="minorEastAsia" w:hAnsi="Georgia"/>
          <w:b/>
          <w:bCs/>
          <w:i/>
          <w:iCs/>
          <w:color w:val="44546A" w:themeColor="text2"/>
          <w:kern w:val="24"/>
          <w:sz w:val="28"/>
          <w:szCs w:val="28"/>
        </w:rPr>
        <w:t>Articulate: A Deaf Memoir of Voice</w:t>
      </w:r>
      <w:r w:rsidRPr="00392D9A">
        <w:rPr>
          <w:rFonts w:ascii="Georgia" w:eastAsiaTheme="minorEastAsia" w:hAnsi="Georgia"/>
          <w:b/>
          <w:bCs/>
          <w:color w:val="44546A" w:themeColor="text2"/>
          <w:kern w:val="24"/>
          <w:sz w:val="28"/>
          <w:szCs w:val="28"/>
        </w:rPr>
        <w:t xml:space="preserve"> </w:t>
      </w:r>
    </w:p>
    <w:p w14:paraId="3AB747BE" w14:textId="77777777" w:rsidR="00CC79C9" w:rsidRPr="000939D5" w:rsidRDefault="00CC79C9" w:rsidP="00271B8C">
      <w:pPr>
        <w:pStyle w:val="NoSpacing"/>
        <w:spacing w:line="240" w:lineRule="exact"/>
        <w:jc w:val="center"/>
        <w:rPr>
          <w:rFonts w:ascii="Georgia" w:eastAsiaTheme="minorEastAsia" w:hAnsi="Georgia" w:cstheme="minorBidi"/>
          <w:kern w:val="24"/>
          <w:sz w:val="28"/>
          <w:szCs w:val="28"/>
        </w:rPr>
      </w:pPr>
    </w:p>
    <w:p w14:paraId="708A5FA7" w14:textId="77777777" w:rsidR="00392D9A" w:rsidRPr="00392D9A" w:rsidRDefault="00392D9A" w:rsidP="00392D9A">
      <w:pPr>
        <w:pStyle w:val="BodyText"/>
        <w:spacing w:line="240" w:lineRule="exact"/>
        <w:rPr>
          <w:rFonts w:ascii="Georgia" w:hAnsi="Georgia"/>
          <w:sz w:val="24"/>
          <w:szCs w:val="24"/>
        </w:rPr>
      </w:pPr>
      <w:r w:rsidRPr="00392D9A">
        <w:rPr>
          <w:rFonts w:ascii="Georgia" w:hAnsi="Georgia"/>
          <w:sz w:val="24"/>
          <w:szCs w:val="24"/>
        </w:rPr>
        <w:t>Rachel Kolb was born profoundly deaf in 1990, the same year that the Americans with Disabilities Act was passed. She grew up with both American Sign Language (ASL) and spoken and written English, as well as the newfound accessibility measures that enabled her to thrive in school and other settings. But when she was twenty years old, she decided to get a cochlear implant (CI) in one ear. At the time, this felt like one of the most loaded — and indeed one of the most ambivalent — decisions of her life.</w:t>
      </w:r>
    </w:p>
    <w:p w14:paraId="07848527" w14:textId="77777777" w:rsidR="00392D9A" w:rsidRPr="00392D9A" w:rsidRDefault="00392D9A" w:rsidP="00392D9A">
      <w:pPr>
        <w:pStyle w:val="BodyText"/>
        <w:spacing w:line="240" w:lineRule="exact"/>
        <w:rPr>
          <w:rFonts w:ascii="Georgia" w:hAnsi="Georgia"/>
          <w:sz w:val="24"/>
          <w:szCs w:val="24"/>
        </w:rPr>
      </w:pPr>
    </w:p>
    <w:p w14:paraId="01F4E9D6" w14:textId="77777777" w:rsidR="00392D9A" w:rsidRPr="00392D9A" w:rsidRDefault="00392D9A" w:rsidP="00392D9A">
      <w:pPr>
        <w:pStyle w:val="BodyText"/>
        <w:spacing w:line="240" w:lineRule="exact"/>
        <w:rPr>
          <w:rFonts w:ascii="Georgia" w:hAnsi="Georgia"/>
          <w:sz w:val="24"/>
          <w:szCs w:val="24"/>
        </w:rPr>
      </w:pPr>
      <w:r w:rsidRPr="00392D9A">
        <w:rPr>
          <w:rFonts w:ascii="Georgia" w:hAnsi="Georgia"/>
          <w:sz w:val="24"/>
          <w:szCs w:val="24"/>
        </w:rPr>
        <w:t xml:space="preserve">In this reflective talk, Kolb will give a personal account of her decision to get a CI, fleshing out how she reckoned with both medical and cultural frameworks of deafness, alongside the varied ways she’d already learned to think about language and human communication. Drawing from her new book </w:t>
      </w:r>
      <w:r w:rsidRPr="00392D9A">
        <w:rPr>
          <w:rFonts w:ascii="Georgia" w:hAnsi="Georgia"/>
          <w:i/>
          <w:iCs/>
          <w:sz w:val="24"/>
          <w:szCs w:val="24"/>
        </w:rPr>
        <w:t xml:space="preserve">Articulate: A Deaf Memoir of Voice, </w:t>
      </w:r>
      <w:r w:rsidRPr="00392D9A">
        <w:rPr>
          <w:rFonts w:ascii="Georgia" w:hAnsi="Georgia"/>
          <w:sz w:val="24"/>
          <w:szCs w:val="24"/>
        </w:rPr>
        <w:t>she will introduce clinicians to some complications with curative rhetoric in the medical setting, including how the commonplace desire to “fix” disability can sometimes limit medical professionals’ understanding of individuals’ deeper perspectives and lived experiences. Finally, she will consider how her CI became another tool in her daily arsenal, alongside the many other communication choices that can empower effective interpersonal understanding, including in clinical contexts.</w:t>
      </w:r>
    </w:p>
    <w:p w14:paraId="576E2B51" w14:textId="016775DB" w:rsidR="00B54DE8" w:rsidRPr="00B54DE8" w:rsidRDefault="00B54DE8" w:rsidP="00271B8C">
      <w:pPr>
        <w:pStyle w:val="BodyText"/>
        <w:spacing w:line="240" w:lineRule="exact"/>
        <w:jc w:val="center"/>
        <w:rPr>
          <w:rFonts w:ascii="Georgia" w:hAnsi="Georgia"/>
          <w:i/>
          <w:iCs/>
          <w:sz w:val="24"/>
          <w:szCs w:val="24"/>
        </w:rPr>
      </w:pPr>
      <w:r w:rsidRPr="00B54DE8">
        <w:rPr>
          <w:rFonts w:ascii="Georgia" w:hAnsi="Georgia"/>
          <w:i/>
          <w:iCs/>
          <w:sz w:val="24"/>
          <w:szCs w:val="24"/>
        </w:rPr>
        <w:t>Provided by the University of Virginia School of Medicine and School of Nursing</w:t>
      </w:r>
    </w:p>
    <w:p w14:paraId="66F4D49A" w14:textId="77777777" w:rsidR="00B54DE8" w:rsidRPr="00B54DE8" w:rsidRDefault="00B54DE8" w:rsidP="00271B8C">
      <w:pPr>
        <w:pStyle w:val="BodyText"/>
        <w:spacing w:line="240" w:lineRule="exact"/>
        <w:jc w:val="center"/>
        <w:rPr>
          <w:rFonts w:ascii="Georgia" w:hAnsi="Georgia"/>
          <w:sz w:val="28"/>
          <w:szCs w:val="28"/>
        </w:rPr>
      </w:pPr>
    </w:p>
    <w:p w14:paraId="0C823A39" w14:textId="3377322B" w:rsidR="00883C0C" w:rsidRDefault="00883C0C" w:rsidP="004B6B8E">
      <w:pPr>
        <w:pStyle w:val="BodyText"/>
        <w:jc w:val="center"/>
        <w:rPr>
          <w:rFonts w:ascii="Georgia" w:eastAsia="Times New Roman" w:hAnsi="Georgia" w:cs="Times New Roman"/>
          <w:b/>
          <w:bCs/>
          <w:color w:val="FF0000"/>
          <w:sz w:val="24"/>
          <w:szCs w:val="24"/>
        </w:rPr>
      </w:pPr>
      <w:r w:rsidRPr="00883C0C">
        <w:rPr>
          <w:rFonts w:ascii="Georgia" w:eastAsia="Times New Roman" w:hAnsi="Georgia" w:cs="Times New Roman"/>
          <w:b/>
          <w:bCs/>
          <w:color w:val="FF0000"/>
          <w:sz w:val="24"/>
          <w:szCs w:val="24"/>
        </w:rPr>
        <w:t xml:space="preserve">Lunch will be provided for the first </w:t>
      </w:r>
      <w:r w:rsidR="008125D6">
        <w:rPr>
          <w:rFonts w:ascii="Georgia" w:eastAsia="Times New Roman" w:hAnsi="Georgia" w:cs="Times New Roman"/>
          <w:b/>
          <w:bCs/>
          <w:color w:val="FF0000"/>
          <w:sz w:val="24"/>
          <w:szCs w:val="24"/>
        </w:rPr>
        <w:t xml:space="preserve">50 </w:t>
      </w:r>
      <w:r w:rsidRPr="00883C0C">
        <w:rPr>
          <w:rFonts w:ascii="Georgia" w:eastAsia="Times New Roman" w:hAnsi="Georgia" w:cs="Times New Roman"/>
          <w:b/>
          <w:bCs/>
          <w:color w:val="FF0000"/>
          <w:sz w:val="24"/>
          <w:szCs w:val="24"/>
        </w:rPr>
        <w:t>people in attendance</w:t>
      </w:r>
      <w:r w:rsidR="0033753C">
        <w:rPr>
          <w:rFonts w:ascii="Georgia" w:eastAsia="Times New Roman" w:hAnsi="Georgia" w:cs="Times New Roman"/>
          <w:b/>
          <w:bCs/>
          <w:color w:val="FF0000"/>
          <w:sz w:val="24"/>
          <w:szCs w:val="24"/>
        </w:rPr>
        <w:t>.</w:t>
      </w:r>
    </w:p>
    <w:p w14:paraId="0B07A9DB" w14:textId="77777777" w:rsidR="00A341DB" w:rsidRDefault="00A341DB" w:rsidP="004B6B8E">
      <w:pPr>
        <w:pStyle w:val="BodyText"/>
        <w:jc w:val="center"/>
        <w:rPr>
          <w:rFonts w:ascii="Georgia" w:eastAsia="Times New Roman" w:hAnsi="Georgia" w:cs="Times New Roman"/>
          <w:b/>
          <w:bCs/>
          <w:color w:val="FF0000"/>
          <w:sz w:val="24"/>
          <w:szCs w:val="24"/>
        </w:rPr>
      </w:pPr>
    </w:p>
    <w:p w14:paraId="4C5CED9E" w14:textId="77777777" w:rsidR="00392D9A" w:rsidRDefault="00392D9A" w:rsidP="00392D9A">
      <w:pPr>
        <w:pStyle w:val="BodyText"/>
        <w:spacing w:line="220" w:lineRule="exact"/>
        <w:rPr>
          <w:rFonts w:ascii="Georgia" w:eastAsia="Times New Roman" w:hAnsi="Georgia" w:cs="Times New Roman"/>
          <w:sz w:val="22"/>
          <w:szCs w:val="22"/>
        </w:rPr>
      </w:pPr>
      <w:r w:rsidRPr="00392D9A">
        <w:rPr>
          <w:rFonts w:ascii="Georgia" w:eastAsia="Times New Roman" w:hAnsi="Georgia" w:cs="Times New Roman"/>
          <w:b/>
          <w:bCs/>
          <w:sz w:val="22"/>
          <w:szCs w:val="22"/>
        </w:rPr>
        <w:t>Rachel Kol</w:t>
      </w:r>
      <w:r w:rsidRPr="00392D9A">
        <w:rPr>
          <w:rFonts w:ascii="Georgia" w:eastAsia="Times New Roman" w:hAnsi="Georgia" w:cs="Times New Roman"/>
          <w:b/>
          <w:bCs/>
        </w:rPr>
        <w:t xml:space="preserve">b </w:t>
      </w:r>
      <w:r w:rsidRPr="00392D9A">
        <w:rPr>
          <w:rFonts w:ascii="Georgia" w:eastAsia="Times New Roman" w:hAnsi="Georgia" w:cs="Times New Roman"/>
          <w:sz w:val="22"/>
          <w:szCs w:val="22"/>
        </w:rPr>
        <w:t xml:space="preserve">is a writer whose work explores communication, language, and disability as central components of human experience. A graduate of Stanford University, she was the first signing deaf Rhodes scholar at Oxford before receiving her Ph.D. in English literature from Emory University and then completing a junior fellowship in the Society of Fellows at Harvard University. Her work has been published in </w:t>
      </w:r>
      <w:r w:rsidRPr="00392D9A">
        <w:rPr>
          <w:rFonts w:ascii="Georgia" w:eastAsia="Times New Roman" w:hAnsi="Georgia" w:cs="Times New Roman"/>
          <w:i/>
          <w:iCs/>
          <w:sz w:val="22"/>
          <w:szCs w:val="22"/>
        </w:rPr>
        <w:t xml:space="preserve">The New York Times </w:t>
      </w:r>
      <w:r w:rsidRPr="00392D9A">
        <w:rPr>
          <w:rFonts w:ascii="Georgia" w:eastAsia="Times New Roman" w:hAnsi="Georgia" w:cs="Times New Roman"/>
          <w:sz w:val="22"/>
          <w:szCs w:val="22"/>
        </w:rPr>
        <w:t xml:space="preserve">and </w:t>
      </w:r>
      <w:r w:rsidRPr="00392D9A">
        <w:rPr>
          <w:rFonts w:ascii="Georgia" w:eastAsia="Times New Roman" w:hAnsi="Georgia" w:cs="Times New Roman"/>
          <w:i/>
          <w:iCs/>
          <w:sz w:val="22"/>
          <w:szCs w:val="22"/>
        </w:rPr>
        <w:t>The Atlantic</w:t>
      </w:r>
      <w:r w:rsidRPr="00392D9A">
        <w:rPr>
          <w:rFonts w:ascii="Georgia" w:eastAsia="Times New Roman" w:hAnsi="Georgia" w:cs="Times New Roman"/>
          <w:sz w:val="22"/>
          <w:szCs w:val="22"/>
        </w:rPr>
        <w:t xml:space="preserve">, among other venues, and she is the author of the new memoir </w:t>
      </w:r>
      <w:r w:rsidRPr="00392D9A">
        <w:rPr>
          <w:rFonts w:ascii="Georgia" w:eastAsia="Times New Roman" w:hAnsi="Georgia" w:cs="Times New Roman"/>
          <w:i/>
          <w:iCs/>
          <w:sz w:val="22"/>
          <w:szCs w:val="22"/>
        </w:rPr>
        <w:t>Articulate</w:t>
      </w:r>
      <w:r w:rsidRPr="00392D9A">
        <w:rPr>
          <w:rFonts w:ascii="Georgia" w:eastAsia="Times New Roman" w:hAnsi="Georgia" w:cs="Times New Roman"/>
          <w:sz w:val="22"/>
          <w:szCs w:val="22"/>
        </w:rPr>
        <w:t xml:space="preserve"> (Ecco, 2025).</w:t>
      </w:r>
    </w:p>
    <w:p w14:paraId="2F8A64D3" w14:textId="77777777" w:rsidR="00392D9A" w:rsidRDefault="00392D9A" w:rsidP="00392D9A">
      <w:pPr>
        <w:pStyle w:val="BodyText"/>
        <w:spacing w:line="220" w:lineRule="exact"/>
        <w:rPr>
          <w:rFonts w:ascii="Georgia" w:eastAsia="Times New Roman" w:hAnsi="Georgia" w:cs="Times New Roman"/>
          <w:sz w:val="22"/>
          <w:szCs w:val="22"/>
        </w:rPr>
      </w:pPr>
    </w:p>
    <w:p w14:paraId="4A87170D" w14:textId="77777777" w:rsidR="00E4497D" w:rsidRDefault="00E4497D" w:rsidP="00E4497D">
      <w:pPr>
        <w:rPr>
          <w:rFonts w:cstheme="minorHAnsi"/>
          <w:b/>
        </w:rPr>
      </w:pPr>
    </w:p>
    <w:p w14:paraId="639FD8AF" w14:textId="1DB1D6B8" w:rsidR="00E4497D" w:rsidRPr="00425747" w:rsidRDefault="00E4497D" w:rsidP="00E4497D">
      <w:r w:rsidRPr="00217873">
        <w:rPr>
          <w:rFonts w:cstheme="minorHAnsi"/>
          <w:b/>
        </w:rPr>
        <w:lastRenderedPageBreak/>
        <w:t xml:space="preserve">Course </w:t>
      </w:r>
      <w:r>
        <w:rPr>
          <w:rFonts w:cstheme="minorHAnsi"/>
          <w:b/>
          <w:sz w:val="18"/>
          <w:szCs w:val="18"/>
        </w:rPr>
        <w:t>D</w:t>
      </w:r>
      <w:r w:rsidRPr="000076C0">
        <w:rPr>
          <w:rFonts w:cstheme="minorHAnsi"/>
          <w:b/>
        </w:rPr>
        <w:t xml:space="preserve">escription: </w:t>
      </w:r>
      <w:r w:rsidRPr="002B58FD">
        <w:rPr>
          <w:i/>
          <w:iCs/>
          <w:sz w:val="20"/>
          <w:szCs w:val="20"/>
        </w:rPr>
        <w:t>This series will address High-Level trends and expectations in accreditation in graduate medical education in internal medicine. It will discuss Gaps in care reflected in medical center quality data, priorities, and outcomes as well as trends and changes in patientcare practice seen at UVA. Finally, we will cover topics from the clinical practice of Endocrinology, Nephrology and General Medicine that require additional representation due to the prevalence of education in other conferences on</w:t>
      </w:r>
      <w:r>
        <w:rPr>
          <w:i/>
          <w:iCs/>
          <w:sz w:val="20"/>
          <w:szCs w:val="20"/>
        </w:rPr>
        <w:t xml:space="preserve"> other</w:t>
      </w:r>
      <w:r w:rsidRPr="002B58FD">
        <w:rPr>
          <w:i/>
          <w:iCs/>
          <w:sz w:val="20"/>
          <w:szCs w:val="20"/>
        </w:rPr>
        <w:t xml:space="preserve"> specialty areas in Internal Medicine.</w:t>
      </w:r>
    </w:p>
    <w:p w14:paraId="06489A67" w14:textId="77777777" w:rsidR="00E4497D" w:rsidRPr="00532F2B" w:rsidRDefault="00E4497D" w:rsidP="00E4497D">
      <w:pPr>
        <w:pStyle w:val="NoSpacing"/>
        <w:rPr>
          <w:rFonts w:cstheme="minorHAnsi"/>
          <w:sz w:val="20"/>
        </w:rPr>
      </w:pPr>
      <w:r w:rsidRPr="000076C0">
        <w:rPr>
          <w:rFonts w:cstheme="minorHAnsi"/>
          <w:b/>
        </w:rPr>
        <w:t>Target Audience:</w:t>
      </w:r>
      <w:r w:rsidRPr="000076C0">
        <w:rPr>
          <w:rFonts w:cstheme="minorHAnsi"/>
        </w:rPr>
        <w:t xml:space="preserve"> </w:t>
      </w:r>
      <w:r w:rsidRPr="002B58FD">
        <w:rPr>
          <w:rFonts w:cstheme="minorHAnsi"/>
          <w:sz w:val="20"/>
          <w:szCs w:val="20"/>
        </w:rPr>
        <w:t>Physicians, Nurses, UVA Faculty, Staff, and Students</w:t>
      </w:r>
    </w:p>
    <w:p w14:paraId="2A581951" w14:textId="77777777" w:rsidR="00E4497D" w:rsidRDefault="00E4497D" w:rsidP="00E4497D">
      <w:pPr>
        <w:pStyle w:val="NoSpacing"/>
        <w:rPr>
          <w:rFonts w:cstheme="minorHAnsi"/>
          <w:b/>
        </w:rPr>
      </w:pPr>
      <w:r>
        <w:rPr>
          <w:rFonts w:cstheme="minorHAnsi"/>
          <w:b/>
        </w:rPr>
        <w:t xml:space="preserve">Desired Outcomes:  </w:t>
      </w:r>
    </w:p>
    <w:p w14:paraId="10CFFF3C" w14:textId="77777777" w:rsidR="00E4497D" w:rsidRPr="007C79EF" w:rsidRDefault="00E4497D" w:rsidP="00E4497D">
      <w:pPr>
        <w:pStyle w:val="ListParagraph"/>
        <w:numPr>
          <w:ilvl w:val="0"/>
          <w:numId w:val="8"/>
        </w:numPr>
        <w:spacing w:after="0" w:line="240" w:lineRule="auto"/>
        <w:rPr>
          <w:color w:val="212121"/>
          <w:sz w:val="20"/>
          <w:szCs w:val="20"/>
        </w:rPr>
      </w:pPr>
      <w:r w:rsidRPr="007C79EF">
        <w:rPr>
          <w:color w:val="212121"/>
          <w:sz w:val="20"/>
          <w:szCs w:val="20"/>
        </w:rPr>
        <w:t>Incorporate new guidelines, techniques, and recent research into clinical practice based on the</w:t>
      </w:r>
      <w:r>
        <w:rPr>
          <w:color w:val="212121"/>
          <w:sz w:val="20"/>
          <w:szCs w:val="20"/>
        </w:rPr>
        <w:t xml:space="preserve"> </w:t>
      </w:r>
      <w:r w:rsidRPr="007C79EF">
        <w:rPr>
          <w:color w:val="212121"/>
          <w:sz w:val="20"/>
          <w:szCs w:val="20"/>
        </w:rPr>
        <w:t>concepts shared in this series.</w:t>
      </w:r>
    </w:p>
    <w:p w14:paraId="167F6D3A" w14:textId="77777777" w:rsidR="00E4497D" w:rsidRPr="007C79EF" w:rsidRDefault="00E4497D" w:rsidP="00E4497D">
      <w:pPr>
        <w:pStyle w:val="ListParagraph"/>
        <w:numPr>
          <w:ilvl w:val="0"/>
          <w:numId w:val="8"/>
        </w:numPr>
        <w:spacing w:after="0" w:line="240" w:lineRule="auto"/>
        <w:rPr>
          <w:color w:val="212121"/>
          <w:sz w:val="20"/>
          <w:szCs w:val="20"/>
        </w:rPr>
      </w:pPr>
      <w:r w:rsidRPr="007C79EF">
        <w:rPr>
          <w:color w:val="212121"/>
          <w:sz w:val="20"/>
          <w:szCs w:val="20"/>
        </w:rPr>
        <w:t>Discuss current clinical cases in the context of evidence-based medicine to identify</w:t>
      </w:r>
      <w:r>
        <w:rPr>
          <w:color w:val="212121"/>
          <w:sz w:val="20"/>
          <w:szCs w:val="20"/>
        </w:rPr>
        <w:t xml:space="preserve"> </w:t>
      </w:r>
      <w:r w:rsidRPr="007C79EF">
        <w:rPr>
          <w:color w:val="212121"/>
          <w:sz w:val="20"/>
          <w:szCs w:val="20"/>
        </w:rPr>
        <w:t>appropriate screenings and treatments for patients.</w:t>
      </w:r>
    </w:p>
    <w:p w14:paraId="318E080A" w14:textId="77777777" w:rsidR="00E4497D" w:rsidRPr="007C79EF" w:rsidRDefault="00E4497D" w:rsidP="00E4497D">
      <w:pPr>
        <w:pStyle w:val="ListParagraph"/>
        <w:numPr>
          <w:ilvl w:val="0"/>
          <w:numId w:val="8"/>
        </w:numPr>
        <w:spacing w:after="0" w:line="240" w:lineRule="auto"/>
        <w:rPr>
          <w:color w:val="212121"/>
          <w:sz w:val="20"/>
          <w:szCs w:val="20"/>
        </w:rPr>
      </w:pPr>
      <w:r w:rsidRPr="007C79EF">
        <w:rPr>
          <w:color w:val="212121"/>
          <w:sz w:val="20"/>
          <w:szCs w:val="20"/>
        </w:rPr>
        <w:t>Improve healthcare outcomes by regularly and frequently engaging the healthcare team in up</w:t>
      </w:r>
      <w:r>
        <w:rPr>
          <w:color w:val="212121"/>
          <w:sz w:val="20"/>
          <w:szCs w:val="20"/>
        </w:rPr>
        <w:t>-</w:t>
      </w:r>
      <w:r w:rsidRPr="007C79EF">
        <w:rPr>
          <w:color w:val="212121"/>
          <w:sz w:val="20"/>
          <w:szCs w:val="20"/>
        </w:rPr>
        <w:t>to-date and evidence-based</w:t>
      </w:r>
      <w:r>
        <w:rPr>
          <w:color w:val="212121"/>
          <w:sz w:val="20"/>
          <w:szCs w:val="20"/>
        </w:rPr>
        <w:t xml:space="preserve"> </w:t>
      </w:r>
      <w:r w:rsidRPr="007C79EF">
        <w:rPr>
          <w:color w:val="212121"/>
          <w:sz w:val="20"/>
          <w:szCs w:val="20"/>
        </w:rPr>
        <w:t>education.</w:t>
      </w:r>
    </w:p>
    <w:p w14:paraId="30D7236D" w14:textId="77777777" w:rsidR="00E4497D" w:rsidRPr="007C79EF" w:rsidRDefault="00E4497D" w:rsidP="00E4497D">
      <w:pPr>
        <w:pStyle w:val="ListParagraph"/>
        <w:numPr>
          <w:ilvl w:val="0"/>
          <w:numId w:val="8"/>
        </w:numPr>
        <w:spacing w:after="0" w:line="240" w:lineRule="auto"/>
        <w:rPr>
          <w:color w:val="212121"/>
          <w:sz w:val="20"/>
          <w:szCs w:val="20"/>
        </w:rPr>
      </w:pPr>
      <w:r w:rsidRPr="007C79EF">
        <w:rPr>
          <w:color w:val="212121"/>
          <w:sz w:val="20"/>
          <w:szCs w:val="20"/>
        </w:rPr>
        <w:t>Promote the maintenance, improvement, and broadening of knowledge and skills throughout</w:t>
      </w:r>
      <w:r>
        <w:rPr>
          <w:color w:val="212121"/>
          <w:sz w:val="20"/>
          <w:szCs w:val="20"/>
        </w:rPr>
        <w:t xml:space="preserve"> </w:t>
      </w:r>
      <w:r w:rsidRPr="007C79EF">
        <w:rPr>
          <w:color w:val="212121"/>
          <w:sz w:val="20"/>
          <w:szCs w:val="20"/>
        </w:rPr>
        <w:t>your professional life through attendance at this regularly scheduled series.</w:t>
      </w:r>
    </w:p>
    <w:p w14:paraId="4876E47D" w14:textId="77777777" w:rsidR="00E4497D" w:rsidRPr="007C79EF" w:rsidRDefault="00E4497D" w:rsidP="00E4497D">
      <w:pPr>
        <w:pStyle w:val="ListParagraph"/>
        <w:numPr>
          <w:ilvl w:val="0"/>
          <w:numId w:val="8"/>
        </w:numPr>
        <w:spacing w:after="0" w:line="240" w:lineRule="auto"/>
        <w:rPr>
          <w:color w:val="212121"/>
          <w:sz w:val="20"/>
          <w:szCs w:val="20"/>
        </w:rPr>
      </w:pPr>
      <w:r w:rsidRPr="007C79EF">
        <w:rPr>
          <w:color w:val="212121"/>
          <w:sz w:val="20"/>
          <w:szCs w:val="20"/>
        </w:rPr>
        <w:t>Incorporate systems-based and practice-based processes to improve patient safety and quality</w:t>
      </w:r>
      <w:r>
        <w:rPr>
          <w:color w:val="212121"/>
          <w:sz w:val="20"/>
          <w:szCs w:val="20"/>
        </w:rPr>
        <w:t xml:space="preserve"> </w:t>
      </w:r>
      <w:r w:rsidRPr="007C79EF">
        <w:rPr>
          <w:color w:val="212121"/>
          <w:sz w:val="20"/>
          <w:szCs w:val="20"/>
        </w:rPr>
        <w:t>in healthcare.</w:t>
      </w:r>
    </w:p>
    <w:p w14:paraId="14286BBA" w14:textId="77777777" w:rsidR="00E4497D" w:rsidRPr="007C79EF" w:rsidRDefault="00E4497D" w:rsidP="00E4497D">
      <w:pPr>
        <w:pStyle w:val="ListParagraph"/>
        <w:numPr>
          <w:ilvl w:val="0"/>
          <w:numId w:val="8"/>
        </w:numPr>
        <w:spacing w:after="0" w:line="240" w:lineRule="auto"/>
        <w:rPr>
          <w:color w:val="212121"/>
          <w:sz w:val="20"/>
          <w:szCs w:val="20"/>
        </w:rPr>
      </w:pPr>
      <w:r w:rsidRPr="007C79EF">
        <w:rPr>
          <w:color w:val="212121"/>
          <w:sz w:val="20"/>
          <w:szCs w:val="20"/>
        </w:rPr>
        <w:t>Communicate effectively with clinical colleagues by incorporating interprofessional discussion</w:t>
      </w:r>
      <w:r>
        <w:rPr>
          <w:color w:val="212121"/>
          <w:sz w:val="20"/>
          <w:szCs w:val="20"/>
        </w:rPr>
        <w:t xml:space="preserve"> </w:t>
      </w:r>
      <w:r w:rsidRPr="007C79EF">
        <w:rPr>
          <w:color w:val="212121"/>
          <w:sz w:val="20"/>
          <w:szCs w:val="20"/>
        </w:rPr>
        <w:t>techniques and patient-centered strategies, as appropriate.</w:t>
      </w:r>
    </w:p>
    <w:p w14:paraId="6DB969A7" w14:textId="77777777" w:rsidR="00E4497D" w:rsidRDefault="00E4497D" w:rsidP="00E4497D">
      <w:pPr>
        <w:pStyle w:val="ListParagraph"/>
        <w:numPr>
          <w:ilvl w:val="0"/>
          <w:numId w:val="8"/>
        </w:numPr>
        <w:spacing w:after="0" w:line="240" w:lineRule="auto"/>
        <w:rPr>
          <w:color w:val="212121"/>
          <w:sz w:val="20"/>
          <w:szCs w:val="20"/>
        </w:rPr>
      </w:pPr>
      <w:r w:rsidRPr="007C79EF">
        <w:rPr>
          <w:color w:val="212121"/>
          <w:sz w:val="20"/>
          <w:szCs w:val="20"/>
        </w:rPr>
        <w:t>Analyze published outcome results and apply to current cases to inform the appropriate</w:t>
      </w:r>
      <w:r>
        <w:rPr>
          <w:color w:val="212121"/>
          <w:sz w:val="20"/>
          <w:szCs w:val="20"/>
        </w:rPr>
        <w:t xml:space="preserve"> </w:t>
      </w:r>
      <w:r w:rsidRPr="007C79EF">
        <w:rPr>
          <w:color w:val="212121"/>
          <w:sz w:val="20"/>
          <w:szCs w:val="20"/>
        </w:rPr>
        <w:t>treatment of patients and practice of medicine.</w:t>
      </w:r>
    </w:p>
    <w:p w14:paraId="7D171683" w14:textId="77777777" w:rsidR="00E4497D" w:rsidRDefault="00E4497D" w:rsidP="00E4497D">
      <w:pPr>
        <w:pStyle w:val="ListParagraph"/>
        <w:spacing w:after="0" w:line="240" w:lineRule="auto"/>
        <w:ind w:left="360"/>
        <w:rPr>
          <w:color w:val="212121"/>
          <w:sz w:val="20"/>
          <w:szCs w:val="20"/>
        </w:rPr>
      </w:pPr>
    </w:p>
    <w:p w14:paraId="79C7A0B0" w14:textId="77777777" w:rsidR="00E4497D" w:rsidRPr="00F60CBF" w:rsidRDefault="00E4497D" w:rsidP="00E4497D">
      <w:pPr>
        <w:spacing w:after="0"/>
        <w:rPr>
          <w:rFonts w:ascii="Georgia" w:hAnsi="Georgia"/>
          <w:b/>
          <w:bCs/>
          <w:color w:val="212121"/>
          <w:sz w:val="20"/>
          <w:szCs w:val="20"/>
        </w:rPr>
      </w:pPr>
      <w:r w:rsidRPr="00F60CBF">
        <w:rPr>
          <w:rFonts w:ascii="Georgia" w:hAnsi="Georgia"/>
          <w:b/>
          <w:bCs/>
          <w:color w:val="212121"/>
          <w:sz w:val="20"/>
          <w:szCs w:val="20"/>
        </w:rPr>
        <w:t xml:space="preserve">Presentation Objectives: </w:t>
      </w:r>
    </w:p>
    <w:p w14:paraId="41C3A2BB" w14:textId="77777777" w:rsidR="00E4497D" w:rsidRPr="00E4497D" w:rsidRDefault="00E4497D" w:rsidP="00E4497D">
      <w:pPr>
        <w:numPr>
          <w:ilvl w:val="0"/>
          <w:numId w:val="11"/>
        </w:numPr>
        <w:spacing w:after="0" w:line="240" w:lineRule="auto"/>
        <w:contextualSpacing/>
        <w:rPr>
          <w:rFonts w:ascii="Times New Roman" w:eastAsia="Aptos" w:hAnsi="Times New Roman" w:cs="Times New Roman (Body CS)"/>
          <w:kern w:val="2"/>
          <w:sz w:val="24"/>
          <w:szCs w:val="24"/>
          <w14:ligatures w14:val="standardContextual"/>
        </w:rPr>
      </w:pPr>
      <w:r w:rsidRPr="00E4497D">
        <w:rPr>
          <w:rFonts w:ascii="Times New Roman" w:eastAsia="Aptos" w:hAnsi="Times New Roman" w:cs="Times New Roman (Body CS)"/>
          <w:kern w:val="2"/>
          <w:sz w:val="24"/>
          <w:szCs w:val="24"/>
          <w14:ligatures w14:val="standardContextual"/>
        </w:rPr>
        <w:t>Describe the distinctions between medical and cultural frameworks of deafness</w:t>
      </w:r>
    </w:p>
    <w:p w14:paraId="0946B5CE" w14:textId="77777777" w:rsidR="00E4497D" w:rsidRPr="00E4497D" w:rsidRDefault="00E4497D" w:rsidP="00E4497D">
      <w:pPr>
        <w:numPr>
          <w:ilvl w:val="0"/>
          <w:numId w:val="11"/>
        </w:numPr>
        <w:spacing w:after="0" w:line="240" w:lineRule="auto"/>
        <w:contextualSpacing/>
        <w:rPr>
          <w:rFonts w:ascii="Times New Roman" w:eastAsia="Aptos" w:hAnsi="Times New Roman" w:cs="Times New Roman (Body CS)"/>
          <w:kern w:val="2"/>
          <w:sz w:val="24"/>
          <w:szCs w:val="24"/>
          <w14:ligatures w14:val="standardContextual"/>
        </w:rPr>
      </w:pPr>
      <w:r w:rsidRPr="00E4497D">
        <w:rPr>
          <w:rFonts w:ascii="Times New Roman" w:eastAsia="Aptos" w:hAnsi="Times New Roman" w:cs="Times New Roman (Body CS)"/>
          <w:kern w:val="2"/>
          <w:sz w:val="24"/>
          <w:szCs w:val="24"/>
          <w14:ligatures w14:val="standardContextual"/>
        </w:rPr>
        <w:t>Discuss some of the complexities of cochlear implantation technology and decision-making, drawing from a patient’s perspective</w:t>
      </w:r>
    </w:p>
    <w:p w14:paraId="78B95974" w14:textId="77777777" w:rsidR="00E4497D" w:rsidRPr="00E4497D" w:rsidRDefault="00E4497D" w:rsidP="00E4497D">
      <w:pPr>
        <w:numPr>
          <w:ilvl w:val="0"/>
          <w:numId w:val="11"/>
        </w:numPr>
        <w:spacing w:after="0" w:line="240" w:lineRule="auto"/>
        <w:contextualSpacing/>
        <w:rPr>
          <w:rFonts w:ascii="Times New Roman" w:eastAsia="Aptos" w:hAnsi="Times New Roman" w:cs="Times New Roman (Body CS)"/>
          <w:kern w:val="2"/>
          <w:sz w:val="24"/>
          <w:szCs w:val="24"/>
          <w14:ligatures w14:val="standardContextual"/>
        </w:rPr>
      </w:pPr>
      <w:r w:rsidRPr="00E4497D">
        <w:rPr>
          <w:rFonts w:ascii="Times New Roman" w:eastAsia="Aptos" w:hAnsi="Times New Roman" w:cs="Times New Roman (Body CS)"/>
          <w:kern w:val="2"/>
          <w:sz w:val="24"/>
          <w:szCs w:val="24"/>
          <w14:ligatures w14:val="standardContextual"/>
        </w:rPr>
        <w:t>Reflect upon medical “enhancement” vs. “cure,” especially given the complications of “curative” rhetoric in the lived experiences of people with disabilities</w:t>
      </w:r>
    </w:p>
    <w:p w14:paraId="2B6A95AF" w14:textId="77777777" w:rsidR="00E4497D" w:rsidRDefault="00E4497D" w:rsidP="00E4497D">
      <w:pPr>
        <w:pStyle w:val="NoSpacing"/>
        <w:rPr>
          <w:b/>
        </w:rPr>
      </w:pPr>
    </w:p>
    <w:p w14:paraId="059822D3" w14:textId="50781FD9" w:rsidR="00E4497D" w:rsidRDefault="00E4497D" w:rsidP="00E4497D">
      <w:pPr>
        <w:pStyle w:val="NoSpacing"/>
        <w:rPr>
          <w:b/>
        </w:rPr>
      </w:pPr>
      <w:r w:rsidRPr="000076C0">
        <w:rPr>
          <w:rFonts w:cstheme="minorHAnsi"/>
          <w:noProof/>
          <w:sz w:val="20"/>
        </w:rPr>
        <mc:AlternateContent>
          <mc:Choice Requires="wps">
            <w:drawing>
              <wp:anchor distT="45720" distB="45720" distL="114300" distR="114300" simplePos="0" relativeHeight="251659264" behindDoc="0" locked="0" layoutInCell="1" allowOverlap="1" wp14:anchorId="0B61D173" wp14:editId="42ACE745">
                <wp:simplePos x="0" y="0"/>
                <wp:positionH relativeFrom="column">
                  <wp:posOffset>982980</wp:posOffset>
                </wp:positionH>
                <wp:positionV relativeFrom="paragraph">
                  <wp:posOffset>229235</wp:posOffset>
                </wp:positionV>
                <wp:extent cx="6124575" cy="685800"/>
                <wp:effectExtent l="0" t="0" r="9525" b="0"/>
                <wp:wrapSquare wrapText="bothSides"/>
                <wp:docPr id="1551270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85800"/>
                        </a:xfrm>
                        <a:prstGeom prst="rect">
                          <a:avLst/>
                        </a:prstGeom>
                        <a:solidFill>
                          <a:srgbClr val="FFFFFF"/>
                        </a:solidFill>
                        <a:ln w="9525">
                          <a:noFill/>
                          <a:miter lim="800000"/>
                          <a:headEnd/>
                          <a:tailEnd/>
                        </a:ln>
                      </wps:spPr>
                      <wps:txbx>
                        <w:txbxContent>
                          <w:p w14:paraId="4BF3AD27" w14:textId="77777777" w:rsidR="00E4497D" w:rsidRPr="000076C0" w:rsidRDefault="00E4497D" w:rsidP="00E4497D">
                            <w:pPr>
                              <w:rPr>
                                <w:rFonts w:cstheme="minorHAnsi"/>
                              </w:rPr>
                            </w:pPr>
                            <w:r w:rsidRPr="000076C0">
                              <w:rPr>
                                <w:rFonts w:cstheme="minorHAnsi"/>
                                <w:color w:val="000000"/>
                                <w:sz w:val="20"/>
                                <w:szCs w:val="20"/>
                                <w:shd w:val="clear" w:color="auto" w:fill="FFFFFF"/>
                              </w:rPr>
                              <w:t xml:space="preserve">In support of improving patient care, </w:t>
                            </w:r>
                            <w:r w:rsidRPr="00AB4214">
                              <w:rPr>
                                <w:rFonts w:cstheme="minorHAnsi"/>
                                <w:bCs/>
                                <w:sz w:val="20"/>
                                <w:szCs w:val="20"/>
                              </w:rPr>
                              <w:t>UVA Health Continuing Education</w:t>
                            </w:r>
                            <w:r>
                              <w:rPr>
                                <w:rFonts w:ascii="Arial" w:hAnsi="Arial" w:cs="Arial"/>
                                <w:bCs/>
                                <w:sz w:val="18"/>
                                <w:szCs w:val="18"/>
                              </w:rPr>
                              <w:t xml:space="preserve"> </w:t>
                            </w:r>
                            <w:r w:rsidRPr="000076C0">
                              <w:rPr>
                                <w:rFonts w:cstheme="minorHAnsi"/>
                                <w:color w:val="000000"/>
                                <w:sz w:val="20"/>
                                <w:szCs w:val="20"/>
                                <w:shd w:val="clear" w:color="auto" w:fill="FFFFFF"/>
                              </w:rPr>
                              <w:t>is jointly accredited by the Accreditation Council for Continuing Medical Education (ACCME), the Accreditation Council for Pharmacy Education (ACPE), and the American Nurses Credentialing Center (ANCC), to provide continuing education for the healthcare team</w:t>
                            </w:r>
                            <w:r>
                              <w:rPr>
                                <w:rFonts w:cstheme="minorHAnsi"/>
                                <w:color w:val="000000"/>
                                <w:sz w:val="20"/>
                                <w:szCs w:val="20"/>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1D173" id="_x0000_t202" coordsize="21600,21600" o:spt="202" path="m,l,21600r21600,l21600,xe">
                <v:stroke joinstyle="miter"/>
                <v:path gradientshapeok="t" o:connecttype="rect"/>
              </v:shapetype>
              <v:shape id="Text Box 2" o:spid="_x0000_s1026" type="#_x0000_t202" style="position:absolute;margin-left:77.4pt;margin-top:18.05pt;width:482.2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" stroked="f">
                <v:textbox>
                  <w:txbxContent>
                    <w:p w14:paraId="4BF3AD27" w14:textId="77777777" w:rsidR="00E4497D" w:rsidRPr="000076C0" w:rsidRDefault="00E4497D" w:rsidP="00E4497D">
                      <w:pPr>
                        <w:rPr>
                          <w:rFonts w:cstheme="minorHAnsi"/>
                        </w:rPr>
                      </w:pPr>
                      <w:r w:rsidRPr="000076C0">
                        <w:rPr>
                          <w:rFonts w:cstheme="minorHAnsi"/>
                          <w:color w:val="000000"/>
                          <w:sz w:val="20"/>
                          <w:szCs w:val="20"/>
                          <w:shd w:val="clear" w:color="auto" w:fill="FFFFFF"/>
                        </w:rPr>
                        <w:t xml:space="preserve">In support of improving patient care, </w:t>
                      </w:r>
                      <w:r w:rsidRPr="00AB4214">
                        <w:rPr>
                          <w:rFonts w:cstheme="minorHAnsi"/>
                          <w:bCs/>
                          <w:sz w:val="20"/>
                          <w:szCs w:val="20"/>
                        </w:rPr>
                        <w:t>UVA Health Continuing Education</w:t>
                      </w:r>
                      <w:r>
                        <w:rPr>
                          <w:rFonts w:ascii="Arial" w:hAnsi="Arial" w:cs="Arial"/>
                          <w:bCs/>
                          <w:sz w:val="18"/>
                          <w:szCs w:val="18"/>
                        </w:rPr>
                        <w:t xml:space="preserve"> </w:t>
                      </w:r>
                      <w:r w:rsidRPr="000076C0">
                        <w:rPr>
                          <w:rFonts w:cstheme="minorHAnsi"/>
                          <w:color w:val="000000"/>
                          <w:sz w:val="20"/>
                          <w:szCs w:val="20"/>
                          <w:shd w:val="clear" w:color="auto" w:fill="FFFFFF"/>
                        </w:rPr>
                        <w:t>is jointly accredited by the Accreditation Council for Continuing Medical Education (ACCME), the Accreditation Council for Pharmacy Education (ACPE), and the American Nurses Credentialing Center (ANCC), to provide continuing education for the healthcare team</w:t>
                      </w:r>
                      <w:r>
                        <w:rPr>
                          <w:rFonts w:cstheme="minorHAnsi"/>
                          <w:color w:val="000000"/>
                          <w:sz w:val="20"/>
                          <w:szCs w:val="20"/>
                          <w:shd w:val="clear" w:color="auto" w:fill="FFFFFF"/>
                        </w:rPr>
                        <w:t>.</w:t>
                      </w:r>
                    </w:p>
                  </w:txbxContent>
                </v:textbox>
                <w10:wrap type="square"/>
              </v:shape>
            </w:pict>
          </mc:Fallback>
        </mc:AlternateContent>
      </w:r>
      <w:r w:rsidRPr="000076C0">
        <w:rPr>
          <w:b/>
        </w:rPr>
        <w:t>Accreditation &amp; Designation Statements</w:t>
      </w:r>
      <w:r>
        <w:rPr>
          <w:b/>
        </w:rPr>
        <w:t xml:space="preserve">: </w:t>
      </w:r>
    </w:p>
    <w:p w14:paraId="387CAC6E" w14:textId="77777777" w:rsidR="00E4497D" w:rsidRPr="002B58FD" w:rsidRDefault="00E4497D" w:rsidP="00E4497D">
      <w:pPr>
        <w:pStyle w:val="NoSpacing"/>
        <w:rPr>
          <w:rFonts w:cstheme="minorHAnsi"/>
          <w:b/>
          <w:sz w:val="12"/>
        </w:rPr>
      </w:pPr>
      <w:r w:rsidRPr="000076C0">
        <w:rPr>
          <w:rFonts w:cstheme="minorHAnsi"/>
          <w:noProof/>
          <w:sz w:val="20"/>
        </w:rPr>
        <w:drawing>
          <wp:anchor distT="0" distB="0" distL="114300" distR="114300" simplePos="0" relativeHeight="251660288" behindDoc="1" locked="0" layoutInCell="1" allowOverlap="1" wp14:anchorId="7E310845" wp14:editId="3A1746D6">
            <wp:simplePos x="0" y="0"/>
            <wp:positionH relativeFrom="column">
              <wp:posOffset>-77470</wp:posOffset>
            </wp:positionH>
            <wp:positionV relativeFrom="paragraph">
              <wp:posOffset>86995</wp:posOffset>
            </wp:positionV>
            <wp:extent cx="923925" cy="618490"/>
            <wp:effectExtent l="0" t="0" r="9525" b="0"/>
            <wp:wrapTight wrapText="bothSides">
              <wp:wrapPolygon edited="0">
                <wp:start x="0" y="0"/>
                <wp:lineTo x="0" y="20624"/>
                <wp:lineTo x="21377" y="20624"/>
                <wp:lineTo x="21377" y="0"/>
                <wp:lineTo x="0" y="0"/>
              </wp:wrapPolygon>
            </wp:wrapTight>
            <wp:docPr id="862863675" name="Picture 862863675" descr="C:\Users\acesys\Desktop\JA logoStat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sys\Desktop\JA logoStatem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603" r="76118" b="10051"/>
                    <a:stretch/>
                  </pic:blipFill>
                  <pic:spPr bwMode="auto">
                    <a:xfrm>
                      <a:off x="0" y="0"/>
                      <a:ext cx="923925" cy="618490"/>
                    </a:xfrm>
                    <a:prstGeom prst="rect">
                      <a:avLst/>
                    </a:prstGeom>
                    <a:noFill/>
                    <a:ln>
                      <a:noFill/>
                    </a:ln>
                    <a:extLst>
                      <a:ext uri="{53640926-AAD7-44D8-BBD7-CCE9431645EC}">
                        <a14:shadowObscured xmlns:a14="http://schemas.microsoft.com/office/drawing/2010/main"/>
                      </a:ext>
                    </a:extLst>
                  </pic:spPr>
                </pic:pic>
              </a:graphicData>
            </a:graphic>
          </wp:anchor>
        </w:drawing>
      </w:r>
    </w:p>
    <w:p w14:paraId="21EFBF25" w14:textId="77777777" w:rsidR="00E4497D" w:rsidRDefault="00E4497D" w:rsidP="00E4497D">
      <w:pPr>
        <w:pStyle w:val="NoSpacing"/>
        <w:rPr>
          <w:rFonts w:cstheme="minorHAnsi"/>
          <w:sz w:val="20"/>
        </w:rPr>
      </w:pPr>
      <w:r w:rsidRPr="00AB4214">
        <w:rPr>
          <w:rFonts w:cstheme="minorHAnsi"/>
          <w:bCs/>
          <w:sz w:val="20"/>
          <w:szCs w:val="20"/>
        </w:rPr>
        <w:t>UVA Health Continuing Education</w:t>
      </w:r>
      <w:r>
        <w:rPr>
          <w:rFonts w:ascii="Arial" w:hAnsi="Arial" w:cs="Arial"/>
          <w:bCs/>
          <w:sz w:val="18"/>
          <w:szCs w:val="18"/>
        </w:rPr>
        <w:t xml:space="preserve"> </w:t>
      </w:r>
      <w:r>
        <w:rPr>
          <w:rFonts w:cstheme="minorHAnsi"/>
          <w:sz w:val="20"/>
        </w:rPr>
        <w:t xml:space="preserve">designates this live activity for a maximum of </w:t>
      </w:r>
      <w:r w:rsidRPr="00CC1C08">
        <w:rPr>
          <w:rFonts w:cstheme="minorHAnsi"/>
          <w:b/>
          <w:i/>
          <w:iCs/>
          <w:sz w:val="20"/>
        </w:rPr>
        <w:t xml:space="preserve">1 </w:t>
      </w:r>
      <w:r w:rsidRPr="00CC1C08">
        <w:rPr>
          <w:rFonts w:cstheme="minorHAnsi"/>
          <w:bCs/>
          <w:i/>
          <w:iCs/>
          <w:sz w:val="20"/>
        </w:rPr>
        <w:t>AMA PRA Category 1 Credits</w:t>
      </w:r>
      <w:r w:rsidRPr="00CC1C08">
        <w:rPr>
          <w:rFonts w:cstheme="minorHAnsi"/>
          <w:i/>
          <w:iCs/>
          <w:sz w:val="20"/>
        </w:rPr>
        <w:t>.</w:t>
      </w:r>
      <w:r w:rsidRPr="00CC1C08">
        <w:rPr>
          <w:rFonts w:cstheme="minorHAnsi"/>
          <w:i/>
          <w:iCs/>
          <w:sz w:val="20"/>
          <w:vertAlign w:val="superscript"/>
        </w:rPr>
        <w:t>TM</w:t>
      </w:r>
      <w:r>
        <w:rPr>
          <w:rFonts w:cstheme="minorHAnsi"/>
          <w:sz w:val="20"/>
          <w:vertAlign w:val="superscript"/>
        </w:rPr>
        <w:t xml:space="preserve">   </w:t>
      </w:r>
      <w:r>
        <w:rPr>
          <w:rFonts w:cstheme="minorHAnsi"/>
          <w:sz w:val="20"/>
        </w:rPr>
        <w:t>Healthcare Professionals</w:t>
      </w:r>
      <w:r w:rsidRPr="003676F3">
        <w:rPr>
          <w:rFonts w:cstheme="minorHAnsi"/>
          <w:sz w:val="20"/>
        </w:rPr>
        <w:t xml:space="preserve"> should claim only the credit </w:t>
      </w:r>
      <w:r>
        <w:rPr>
          <w:rFonts w:cstheme="minorHAnsi"/>
          <w:sz w:val="20"/>
        </w:rPr>
        <w:t>commensurate with the extent of their participation in the activity.</w:t>
      </w:r>
    </w:p>
    <w:p w14:paraId="0584B75A" w14:textId="77777777" w:rsidR="00E4497D" w:rsidRPr="007E60D3" w:rsidRDefault="00E4497D" w:rsidP="00E4497D">
      <w:pPr>
        <w:pStyle w:val="NoSpacing"/>
        <w:rPr>
          <w:rFonts w:cstheme="minorHAnsi"/>
          <w:sz w:val="20"/>
          <w:szCs w:val="20"/>
        </w:rPr>
      </w:pPr>
    </w:p>
    <w:p w14:paraId="4F7AA10E" w14:textId="77777777" w:rsidR="00E4497D" w:rsidRPr="007E60D3" w:rsidRDefault="00E4497D" w:rsidP="00E4497D">
      <w:pPr>
        <w:rPr>
          <w:rFonts w:ascii="Calibri" w:hAnsi="Calibri" w:cs="Calibri"/>
        </w:rPr>
      </w:pPr>
      <w:r w:rsidRPr="00AB4214">
        <w:rPr>
          <w:rFonts w:cstheme="minorHAnsi"/>
          <w:bCs/>
          <w:sz w:val="20"/>
          <w:szCs w:val="20"/>
        </w:rPr>
        <w:t>UVA Health Continuing Education</w:t>
      </w:r>
      <w:r>
        <w:rPr>
          <w:rFonts w:ascii="Arial" w:hAnsi="Arial" w:cs="Arial"/>
          <w:bCs/>
          <w:sz w:val="18"/>
          <w:szCs w:val="18"/>
        </w:rPr>
        <w:t xml:space="preserve"> </w:t>
      </w:r>
      <w:r w:rsidRPr="007E60D3">
        <w:rPr>
          <w:rFonts w:ascii="Calibri" w:hAnsi="Calibri" w:cs="Calibri"/>
          <w:sz w:val="20"/>
          <w:szCs w:val="20"/>
        </w:rPr>
        <w:t xml:space="preserve">awards </w:t>
      </w:r>
      <w:r w:rsidRPr="007E60D3">
        <w:rPr>
          <w:rFonts w:ascii="Calibri" w:hAnsi="Calibri" w:cs="Calibri"/>
          <w:b/>
          <w:spacing w:val="-2"/>
          <w:sz w:val="20"/>
          <w:szCs w:val="20"/>
        </w:rPr>
        <w:t xml:space="preserve">1 </w:t>
      </w:r>
      <w:r w:rsidRPr="00CC1C08">
        <w:rPr>
          <w:rFonts w:ascii="Calibri" w:hAnsi="Calibri" w:cs="Calibri"/>
          <w:bCs/>
          <w:sz w:val="20"/>
          <w:szCs w:val="20"/>
        </w:rPr>
        <w:t>contact hour</w:t>
      </w:r>
      <w:r w:rsidRPr="007E60D3">
        <w:rPr>
          <w:rFonts w:ascii="Calibri" w:hAnsi="Calibri" w:cs="Calibri"/>
          <w:sz w:val="20"/>
          <w:szCs w:val="20"/>
        </w:rPr>
        <w:t xml:space="preserve"> for nurses who participate in this educational activity and complete the post activity evaluation</w:t>
      </w:r>
      <w:r w:rsidRPr="006916FB">
        <w:rPr>
          <w:rFonts w:ascii="Calibri" w:hAnsi="Calibri" w:cs="Calibri"/>
        </w:rPr>
        <w:t>.</w:t>
      </w:r>
    </w:p>
    <w:p w14:paraId="2E817A1E" w14:textId="77777777" w:rsidR="00E4497D" w:rsidRDefault="00E4497D" w:rsidP="00E4497D">
      <w:pPr>
        <w:pStyle w:val="NoSpacing"/>
        <w:rPr>
          <w:sz w:val="20"/>
        </w:rPr>
      </w:pPr>
      <w:r w:rsidRPr="00AB4214">
        <w:rPr>
          <w:rFonts w:cstheme="minorHAnsi"/>
          <w:bCs/>
          <w:sz w:val="20"/>
          <w:szCs w:val="20"/>
        </w:rPr>
        <w:t>UVA Health Continuing Education</w:t>
      </w:r>
      <w:r>
        <w:rPr>
          <w:rFonts w:ascii="Arial" w:hAnsi="Arial" w:cs="Arial"/>
          <w:bCs/>
          <w:sz w:val="18"/>
          <w:szCs w:val="18"/>
        </w:rPr>
        <w:t xml:space="preserve"> </w:t>
      </w:r>
      <w:r>
        <w:rPr>
          <w:sz w:val="20"/>
        </w:rPr>
        <w:t xml:space="preserve">awards </w:t>
      </w:r>
      <w:r w:rsidRPr="002A5843">
        <w:rPr>
          <w:b/>
          <w:sz w:val="20"/>
        </w:rPr>
        <w:t xml:space="preserve">1 </w:t>
      </w:r>
      <w:r w:rsidRPr="00CC1C08">
        <w:rPr>
          <w:bCs/>
          <w:sz w:val="20"/>
        </w:rPr>
        <w:t>hour of participation</w:t>
      </w:r>
      <w:r>
        <w:rPr>
          <w:sz w:val="20"/>
        </w:rPr>
        <w:t xml:space="preserve"> (consistent with the designated number of </w:t>
      </w:r>
      <w:r w:rsidRPr="00CC1C08">
        <w:rPr>
          <w:i/>
          <w:iCs/>
          <w:sz w:val="20"/>
        </w:rPr>
        <w:t>AMA PRA Category 1 Credit(s)</w:t>
      </w:r>
      <w:r w:rsidRPr="00CC1C08">
        <w:rPr>
          <w:i/>
          <w:iCs/>
          <w:sz w:val="20"/>
          <w:vertAlign w:val="superscript"/>
        </w:rPr>
        <w:t>TM</w:t>
      </w:r>
      <w:r>
        <w:rPr>
          <w:sz w:val="20"/>
        </w:rPr>
        <w:t xml:space="preserve"> or ANCC contact hours) to a participant who successfully completes this educational activity.  </w:t>
      </w:r>
    </w:p>
    <w:p w14:paraId="3836972F" w14:textId="77777777" w:rsidR="00E4497D" w:rsidRPr="003676F3" w:rsidRDefault="00E4497D" w:rsidP="00E4497D">
      <w:pPr>
        <w:pStyle w:val="NoSpacing"/>
        <w:rPr>
          <w:rFonts w:cstheme="minorHAnsi"/>
          <w:sz w:val="20"/>
          <w:vertAlign w:val="superscript"/>
        </w:rPr>
      </w:pPr>
      <w:r w:rsidRPr="00AB4214">
        <w:rPr>
          <w:rFonts w:cstheme="minorHAnsi"/>
          <w:bCs/>
          <w:sz w:val="20"/>
          <w:szCs w:val="20"/>
        </w:rPr>
        <w:t>UVA Health Continuing Education</w:t>
      </w:r>
      <w:r>
        <w:rPr>
          <w:rFonts w:ascii="Arial" w:hAnsi="Arial" w:cs="Arial"/>
          <w:bCs/>
          <w:sz w:val="18"/>
          <w:szCs w:val="18"/>
        </w:rPr>
        <w:t xml:space="preserve"> </w:t>
      </w:r>
      <w:r>
        <w:rPr>
          <w:sz w:val="20"/>
        </w:rPr>
        <w:t>maintains a record of participation for six (6) years.</w:t>
      </w:r>
    </w:p>
    <w:p w14:paraId="2152A817" w14:textId="77777777" w:rsidR="00E4497D" w:rsidRDefault="00E4497D" w:rsidP="00E4497D">
      <w:pPr>
        <w:pStyle w:val="NoSpacing"/>
        <w:rPr>
          <w:rFonts w:cstheme="minorHAnsi"/>
          <w:sz w:val="20"/>
        </w:rPr>
      </w:pPr>
    </w:p>
    <w:p w14:paraId="7B072ECD" w14:textId="77777777" w:rsidR="00E4497D" w:rsidRDefault="00E4497D" w:rsidP="00E4497D">
      <w:pPr>
        <w:rPr>
          <w:rFonts w:ascii="Arial" w:hAnsi="Arial" w:cs="Arial"/>
          <w:sz w:val="18"/>
          <w:szCs w:val="18"/>
        </w:rPr>
      </w:pPr>
      <w:r>
        <w:rPr>
          <w:rFonts w:ascii="Arial" w:hAnsi="Arial" w:cs="Arial"/>
          <w:b/>
          <w:bCs/>
          <w:sz w:val="18"/>
          <w:szCs w:val="18"/>
        </w:rPr>
        <w:t>Full Disclosure Policy Affecting CME Activities:</w:t>
      </w:r>
      <w:r>
        <w:rPr>
          <w:rFonts w:ascii="Arial" w:hAnsi="Arial" w:cs="Arial"/>
          <w:sz w:val="18"/>
          <w:szCs w:val="18"/>
        </w:rPr>
        <w:t xml:space="preserve"> As a joint accredited provider, UVA Health Continuing Education requires attested and signed global disclosure of the existence of all financial interests or relationships with commercial interest from any individual in a position to control the content of a CME activity sponsored by UVACE. </w:t>
      </w:r>
    </w:p>
    <w:p w14:paraId="5D9B745E" w14:textId="77777777" w:rsidR="00E4497D" w:rsidRPr="002B58FD" w:rsidRDefault="00E4497D" w:rsidP="00E4497D">
      <w:pPr>
        <w:rPr>
          <w:rFonts w:ascii="Arial" w:hAnsi="Arial" w:cs="Arial"/>
          <w:sz w:val="18"/>
          <w:szCs w:val="18"/>
        </w:rPr>
      </w:pPr>
      <w:r>
        <w:rPr>
          <w:rFonts w:ascii="Arial" w:hAnsi="Arial" w:cs="Arial"/>
          <w:b/>
          <w:bCs/>
          <w:sz w:val="18"/>
          <w:szCs w:val="18"/>
        </w:rPr>
        <w:t>Disclosure Summary:</w:t>
      </w:r>
    </w:p>
    <w:p w14:paraId="2FCC2AC4" w14:textId="77777777" w:rsidR="00E4497D" w:rsidRDefault="00E4497D" w:rsidP="00E4497D">
      <w:pPr>
        <w:rPr>
          <w:rFonts w:ascii="Arial" w:hAnsi="Arial" w:cs="Arial"/>
          <w:b/>
          <w:bCs/>
          <w:sz w:val="18"/>
          <w:szCs w:val="18"/>
        </w:rPr>
      </w:pPr>
      <w:r>
        <w:rPr>
          <w:rFonts w:ascii="Arial" w:hAnsi="Arial" w:cs="Arial"/>
          <w:b/>
          <w:bCs/>
          <w:sz w:val="18"/>
          <w:szCs w:val="18"/>
        </w:rPr>
        <w:t>No one in a position to control the content of this educational activity has disclosed a relevant financial interest or relationship with any commercial interest</w:t>
      </w:r>
    </w:p>
    <w:p w14:paraId="46917B44" w14:textId="77777777" w:rsidR="00E4497D" w:rsidRPr="00F60CBF" w:rsidRDefault="00E4497D" w:rsidP="00E4497D">
      <w:pPr>
        <w:spacing w:line="240" w:lineRule="auto"/>
        <w:ind w:right="317"/>
        <w:rPr>
          <w:rFonts w:ascii="Georgia" w:hAnsi="Georgia" w:cstheme="minorHAnsi"/>
          <w:bCs/>
          <w:sz w:val="24"/>
          <w:szCs w:val="24"/>
        </w:rPr>
      </w:pPr>
      <w:r w:rsidRPr="00F60CBF">
        <w:rPr>
          <w:rFonts w:ascii="Georgia" w:hAnsi="Georgia" w:cstheme="minorHAnsi"/>
          <w:bCs/>
          <w:sz w:val="24"/>
          <w:szCs w:val="24"/>
        </w:rPr>
        <w:t xml:space="preserve">Medical Center Hour is free of charge and open to the public. For more information, see Center for Health Humanities and Ethics: </w:t>
      </w:r>
      <w:hyperlink r:id="rId9" w:history="1">
        <w:r w:rsidRPr="00F60CBF">
          <w:rPr>
            <w:rStyle w:val="Hyperlink"/>
            <w:rFonts w:ascii="Georgia" w:hAnsi="Georgia" w:cstheme="minorHAnsi"/>
            <w:bCs/>
            <w:sz w:val="24"/>
            <w:szCs w:val="24"/>
          </w:rPr>
          <w:t>https://med.virginia.edu/biomedical-ethics/medical-center-hour/</w:t>
        </w:r>
      </w:hyperlink>
    </w:p>
    <w:p w14:paraId="5632C647" w14:textId="77777777" w:rsidR="00E4497D" w:rsidRPr="00F60CBF" w:rsidRDefault="00E4497D" w:rsidP="00E4497D">
      <w:pPr>
        <w:rPr>
          <w:rFonts w:ascii="Georgia" w:hAnsi="Georgia" w:cs="Arial"/>
          <w:b/>
          <w:bCs/>
          <w:sz w:val="24"/>
          <w:szCs w:val="24"/>
        </w:rPr>
      </w:pPr>
    </w:p>
    <w:p w14:paraId="74ED852E" w14:textId="77777777" w:rsidR="00E4497D" w:rsidRPr="00A341DB" w:rsidRDefault="00E4497D" w:rsidP="00E4497D">
      <w:pPr>
        <w:rPr>
          <w:rFonts w:ascii="Arial" w:hAnsi="Arial" w:cs="Arial"/>
          <w:sz w:val="18"/>
          <w:szCs w:val="18"/>
        </w:rPr>
      </w:pPr>
      <w:r>
        <w:rPr>
          <w:b/>
          <w:noProof/>
          <w:sz w:val="56"/>
          <w:szCs w:val="56"/>
        </w:rPr>
        <w:drawing>
          <wp:inline distT="0" distB="0" distL="0" distR="0" wp14:anchorId="2A055EAE" wp14:editId="2B0DF202">
            <wp:extent cx="6858000" cy="1009079"/>
            <wp:effectExtent l="0" t="0" r="0" b="0"/>
            <wp:docPr id="3" name="Picture 3" descr="An orang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orange background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858000" cy="1009079"/>
                    </a:xfrm>
                    <a:prstGeom prst="rect">
                      <a:avLst/>
                    </a:prstGeom>
                  </pic:spPr>
                </pic:pic>
              </a:graphicData>
            </a:graphic>
          </wp:inline>
        </w:drawing>
      </w:r>
    </w:p>
    <w:p w14:paraId="571B2B6C" w14:textId="77777777" w:rsidR="00E4497D" w:rsidRPr="00F60CBF" w:rsidRDefault="00E4497D" w:rsidP="00E4497D">
      <w:pPr>
        <w:spacing w:line="240" w:lineRule="auto"/>
        <w:rPr>
          <w:b/>
          <w:color w:val="232D4B"/>
          <w:sz w:val="48"/>
          <w:szCs w:val="48"/>
        </w:rPr>
      </w:pPr>
      <w:r w:rsidRPr="00F60CBF">
        <w:rPr>
          <w:b/>
          <w:color w:val="232D4B"/>
          <w:sz w:val="48"/>
          <w:szCs w:val="48"/>
        </w:rPr>
        <w:t>How to Claim Your CE Credit via Text</w:t>
      </w:r>
    </w:p>
    <w:p w14:paraId="485DB5DC" w14:textId="77777777" w:rsidR="00E4497D" w:rsidRDefault="00E4497D" w:rsidP="00E4497D">
      <w:pPr>
        <w:pStyle w:val="ListParagraph"/>
        <w:spacing w:line="240" w:lineRule="auto"/>
        <w:ind w:left="0"/>
        <w:rPr>
          <w:sz w:val="24"/>
          <w:szCs w:val="24"/>
        </w:rPr>
      </w:pPr>
      <w:r w:rsidRPr="00F60CBF">
        <w:rPr>
          <w:b/>
          <w:color w:val="002060"/>
          <w:sz w:val="28"/>
          <w:szCs w:val="28"/>
        </w:rPr>
        <w:t>How to Text to Claim Credit</w:t>
      </w:r>
      <w:r w:rsidRPr="00F60CBF">
        <w:rPr>
          <w:b/>
          <w:color w:val="002060"/>
          <w:sz w:val="28"/>
          <w:szCs w:val="28"/>
        </w:rPr>
        <w:br/>
      </w:r>
      <w:r w:rsidRPr="009735FE">
        <w:rPr>
          <w:sz w:val="24"/>
          <w:szCs w:val="24"/>
        </w:rPr>
        <w:t xml:space="preserve">To </w:t>
      </w:r>
      <w:r>
        <w:rPr>
          <w:sz w:val="24"/>
          <w:szCs w:val="24"/>
        </w:rPr>
        <w:t>enter</w:t>
      </w:r>
      <w:r w:rsidRPr="009735FE">
        <w:rPr>
          <w:sz w:val="24"/>
          <w:szCs w:val="24"/>
        </w:rPr>
        <w:t xml:space="preserve"> </w:t>
      </w:r>
      <w:r>
        <w:rPr>
          <w:sz w:val="24"/>
          <w:szCs w:val="24"/>
        </w:rPr>
        <w:t>credit</w:t>
      </w:r>
      <w:r w:rsidRPr="009735FE">
        <w:rPr>
          <w:sz w:val="24"/>
          <w:szCs w:val="24"/>
        </w:rPr>
        <w:t xml:space="preserve">, text the </w:t>
      </w:r>
      <w:r>
        <w:rPr>
          <w:sz w:val="24"/>
          <w:szCs w:val="24"/>
        </w:rPr>
        <w:t>Activity ID code below to the indicated phone number</w:t>
      </w:r>
      <w:r w:rsidRPr="009735FE">
        <w:rPr>
          <w:sz w:val="24"/>
          <w:szCs w:val="24"/>
        </w:rPr>
        <w:t xml:space="preserve"> each time you attend.</w:t>
      </w:r>
    </w:p>
    <w:p w14:paraId="4E169AC7" w14:textId="2FE40CAA" w:rsidR="00E4497D" w:rsidRPr="00A31865" w:rsidRDefault="00E4497D" w:rsidP="00E4497D">
      <w:pPr>
        <w:spacing w:line="240" w:lineRule="auto"/>
        <w:ind w:left="720"/>
        <w:rPr>
          <w:i/>
          <w:color w:val="C00000"/>
          <w:sz w:val="24"/>
          <w:szCs w:val="24"/>
        </w:rPr>
      </w:pPr>
      <w:r w:rsidRPr="00F60CBF">
        <w:rPr>
          <w:b/>
          <w:color w:val="002060"/>
          <w:sz w:val="32"/>
          <w:szCs w:val="32"/>
        </w:rPr>
        <w:t>Text To:</w:t>
      </w:r>
      <w:r w:rsidRPr="00F60CBF">
        <w:rPr>
          <w:color w:val="002060"/>
          <w:sz w:val="32"/>
          <w:szCs w:val="32"/>
        </w:rPr>
        <w:t xml:space="preserve"> </w:t>
      </w:r>
      <w:r w:rsidRPr="00F60CBF">
        <w:rPr>
          <w:b/>
          <w:color w:val="002060"/>
          <w:sz w:val="32"/>
          <w:szCs w:val="32"/>
        </w:rPr>
        <w:t xml:space="preserve"> </w:t>
      </w:r>
      <w:r w:rsidRPr="00F60CBF">
        <w:rPr>
          <w:rFonts w:ascii="Segoe UI" w:hAnsi="Segoe UI" w:cs="Segoe UI"/>
          <w:b/>
          <w:bCs/>
          <w:sz w:val="32"/>
          <w:szCs w:val="32"/>
        </w:rPr>
        <w:t>1 (855) 474-8287</w:t>
      </w:r>
      <w:r w:rsidRPr="00F60CBF">
        <w:rPr>
          <w:b/>
          <w:color w:val="002060"/>
          <w:sz w:val="32"/>
          <w:szCs w:val="32"/>
        </w:rPr>
        <w:br/>
        <w:t xml:space="preserve">Activity Code: </w:t>
      </w:r>
      <w:r w:rsidRPr="00E4497D">
        <w:rPr>
          <w:b/>
          <w:color w:val="002060"/>
          <w:sz w:val="32"/>
          <w:szCs w:val="32"/>
          <w:highlight w:val="green"/>
        </w:rPr>
        <w:t>28175</w:t>
      </w:r>
      <w:r w:rsidRPr="00F60CBF">
        <w:rPr>
          <w:b/>
          <w:color w:val="0070C0"/>
          <w:sz w:val="32"/>
          <w:szCs w:val="32"/>
        </w:rPr>
        <w:br/>
      </w:r>
      <w:r w:rsidRPr="0010004D">
        <w:rPr>
          <w:i/>
          <w:color w:val="002060"/>
          <w:sz w:val="24"/>
          <w:szCs w:val="24"/>
        </w:rPr>
        <w:t>This code will change for each session.</w:t>
      </w:r>
    </w:p>
    <w:p w14:paraId="543CA6AC" w14:textId="77777777" w:rsidR="00E4497D" w:rsidRPr="00976ED8" w:rsidRDefault="00E4497D" w:rsidP="00E4497D">
      <w:pPr>
        <w:pStyle w:val="ListParagraph"/>
        <w:numPr>
          <w:ilvl w:val="0"/>
          <w:numId w:val="4"/>
        </w:numPr>
        <w:spacing w:after="160" w:line="240" w:lineRule="auto"/>
        <w:ind w:left="360"/>
        <w:rPr>
          <w:sz w:val="24"/>
          <w:szCs w:val="24"/>
        </w:rPr>
      </w:pPr>
      <w:r w:rsidRPr="00976ED8">
        <w:rPr>
          <w:sz w:val="24"/>
          <w:szCs w:val="24"/>
        </w:rPr>
        <w:t xml:space="preserve">You will receive a text confirmation that your </w:t>
      </w:r>
      <w:r>
        <w:rPr>
          <w:sz w:val="24"/>
          <w:szCs w:val="24"/>
        </w:rPr>
        <w:t>“</w:t>
      </w:r>
      <w:r w:rsidRPr="00976ED8">
        <w:rPr>
          <w:sz w:val="24"/>
          <w:szCs w:val="24"/>
        </w:rPr>
        <w:t>attendance has been recorded</w:t>
      </w:r>
      <w:r>
        <w:rPr>
          <w:sz w:val="24"/>
          <w:szCs w:val="24"/>
        </w:rPr>
        <w:t>” for the activity</w:t>
      </w:r>
      <w:r w:rsidRPr="00621388">
        <w:rPr>
          <w:sz w:val="24"/>
          <w:szCs w:val="24"/>
        </w:rPr>
        <w:t>.</w:t>
      </w:r>
    </w:p>
    <w:p w14:paraId="35D30148" w14:textId="163B9DDD" w:rsidR="00E4497D" w:rsidRPr="00463EC5" w:rsidRDefault="00E4497D" w:rsidP="00E4497D">
      <w:pPr>
        <w:pStyle w:val="ListParagraph"/>
        <w:numPr>
          <w:ilvl w:val="0"/>
          <w:numId w:val="4"/>
        </w:numPr>
        <w:spacing w:after="160" w:line="240" w:lineRule="auto"/>
        <w:ind w:left="360"/>
        <w:rPr>
          <w:b/>
          <w:sz w:val="24"/>
          <w:szCs w:val="24"/>
        </w:rPr>
      </w:pPr>
      <w:r w:rsidRPr="00C716CC">
        <w:rPr>
          <w:sz w:val="24"/>
          <w:szCs w:val="24"/>
        </w:rPr>
        <w:t xml:space="preserve">If you receive the message: “User not found in </w:t>
      </w:r>
      <w:r w:rsidRPr="00BC094D">
        <w:rPr>
          <w:color w:val="323E4F" w:themeColor="text2" w:themeShade="BF"/>
          <w:sz w:val="24"/>
          <w:szCs w:val="24"/>
        </w:rPr>
        <w:t>system,</w:t>
      </w:r>
      <w:r w:rsidRPr="00BC094D">
        <w:rPr>
          <w:b/>
          <w:bCs/>
          <w:color w:val="323E4F" w:themeColor="text2" w:themeShade="BF"/>
          <w:sz w:val="24"/>
          <w:szCs w:val="24"/>
        </w:rPr>
        <w:t>”</w:t>
      </w:r>
      <w:r w:rsidRPr="00BC094D">
        <w:rPr>
          <w:color w:val="323E4F" w:themeColor="text2" w:themeShade="BF"/>
          <w:sz w:val="24"/>
          <w:szCs w:val="24"/>
        </w:rPr>
        <w:t xml:space="preserve"> text </w:t>
      </w:r>
      <w:r w:rsidRPr="00C716CC">
        <w:rPr>
          <w:sz w:val="24"/>
          <w:szCs w:val="24"/>
        </w:rPr>
        <w:t>your email</w:t>
      </w:r>
      <w:r>
        <w:rPr>
          <w:sz w:val="24"/>
          <w:szCs w:val="24"/>
        </w:rPr>
        <w:t xml:space="preserve"> address</w:t>
      </w:r>
      <w:r w:rsidRPr="00C716CC">
        <w:rPr>
          <w:sz w:val="24"/>
          <w:szCs w:val="24"/>
        </w:rPr>
        <w:t xml:space="preserve"> </w:t>
      </w:r>
      <w:r w:rsidRPr="00BD67C3">
        <w:rPr>
          <w:sz w:val="24"/>
          <w:szCs w:val="24"/>
        </w:rPr>
        <w:t>to</w:t>
      </w:r>
      <w:r w:rsidRPr="00557BCF">
        <w:rPr>
          <w:color w:val="FF0000"/>
          <w:sz w:val="24"/>
          <w:szCs w:val="24"/>
        </w:rPr>
        <w:t xml:space="preserve"> </w:t>
      </w:r>
      <w:r w:rsidRPr="00C716CC">
        <w:rPr>
          <w:sz w:val="24"/>
          <w:szCs w:val="24"/>
        </w:rPr>
        <w:t>the same number</w:t>
      </w:r>
      <w:r>
        <w:rPr>
          <w:sz w:val="24"/>
          <w:szCs w:val="24"/>
        </w:rPr>
        <w:t xml:space="preserve"> </w:t>
      </w:r>
      <w:r w:rsidRPr="00C716CC">
        <w:rPr>
          <w:sz w:val="24"/>
          <w:szCs w:val="24"/>
        </w:rPr>
        <w:t xml:space="preserve">and your cell phone will </w:t>
      </w:r>
      <w:r>
        <w:rPr>
          <w:sz w:val="24"/>
          <w:szCs w:val="24"/>
        </w:rPr>
        <w:t xml:space="preserve">then </w:t>
      </w:r>
      <w:proofErr w:type="gramStart"/>
      <w:r w:rsidRPr="00C716CC">
        <w:rPr>
          <w:sz w:val="24"/>
          <w:szCs w:val="24"/>
        </w:rPr>
        <w:t>be</w:t>
      </w:r>
      <w:r>
        <w:rPr>
          <w:sz w:val="24"/>
          <w:szCs w:val="24"/>
        </w:rPr>
        <w:t xml:space="preserve"> </w:t>
      </w:r>
      <w:r w:rsidRPr="00C716CC">
        <w:rPr>
          <w:sz w:val="24"/>
          <w:szCs w:val="24"/>
        </w:rPr>
        <w:t>connected with</w:t>
      </w:r>
      <w:proofErr w:type="gramEnd"/>
      <w:r w:rsidRPr="00C716CC">
        <w:rPr>
          <w:sz w:val="24"/>
          <w:szCs w:val="24"/>
        </w:rPr>
        <w:t xml:space="preserve"> your CE account.</w:t>
      </w:r>
      <w:r>
        <w:rPr>
          <w:sz w:val="24"/>
          <w:szCs w:val="24"/>
        </w:rPr>
        <w:t xml:space="preserve"> Then, re-text the code above</w:t>
      </w:r>
      <w:r w:rsidRPr="00C716CC">
        <w:rPr>
          <w:sz w:val="24"/>
          <w:szCs w:val="24"/>
        </w:rPr>
        <w:t xml:space="preserve"> to </w:t>
      </w:r>
      <w:r>
        <w:rPr>
          <w:sz w:val="24"/>
          <w:szCs w:val="24"/>
        </w:rPr>
        <w:t>claim</w:t>
      </w:r>
      <w:r w:rsidRPr="00C716CC">
        <w:rPr>
          <w:sz w:val="24"/>
          <w:szCs w:val="24"/>
        </w:rPr>
        <w:t xml:space="preserve"> </w:t>
      </w:r>
      <w:r>
        <w:rPr>
          <w:sz w:val="24"/>
          <w:szCs w:val="24"/>
        </w:rPr>
        <w:t>credit</w:t>
      </w:r>
      <w:r w:rsidRPr="00C716CC">
        <w:rPr>
          <w:sz w:val="24"/>
          <w:szCs w:val="24"/>
        </w:rPr>
        <w:t>.</w:t>
      </w:r>
    </w:p>
    <w:p w14:paraId="7AE4F71A" w14:textId="77777777" w:rsidR="00E4497D" w:rsidRPr="00BC094D" w:rsidRDefault="00E4497D" w:rsidP="00E4497D">
      <w:pPr>
        <w:pStyle w:val="ListParagraph"/>
        <w:numPr>
          <w:ilvl w:val="0"/>
          <w:numId w:val="4"/>
        </w:numPr>
        <w:spacing w:after="160" w:line="240" w:lineRule="auto"/>
        <w:ind w:left="360"/>
        <w:rPr>
          <w:b/>
          <w:strike/>
          <w:sz w:val="24"/>
          <w:szCs w:val="24"/>
        </w:rPr>
      </w:pPr>
      <w:r w:rsidRPr="00BC094D">
        <w:rPr>
          <w:b/>
          <w:sz w:val="24"/>
          <w:szCs w:val="24"/>
        </w:rPr>
        <w:t xml:space="preserve">New to UVA CE? </w:t>
      </w:r>
      <w:r w:rsidRPr="00BC094D">
        <w:rPr>
          <w:sz w:val="24"/>
          <w:szCs w:val="24"/>
        </w:rPr>
        <w:t>If you have never attended a UVA CE course, create a new account at</w:t>
      </w:r>
      <w:r w:rsidRPr="00BC094D">
        <w:rPr>
          <w:b/>
          <w:bCs/>
          <w:sz w:val="24"/>
          <w:szCs w:val="24"/>
        </w:rPr>
        <w:t xml:space="preserve"> CMEVillage.com, </w:t>
      </w:r>
      <w:r w:rsidRPr="00BC094D">
        <w:rPr>
          <w:sz w:val="24"/>
          <w:szCs w:val="24"/>
        </w:rPr>
        <w:t xml:space="preserve">then follow the above instructions to claim credit. </w:t>
      </w:r>
    </w:p>
    <w:p w14:paraId="3CE89961" w14:textId="77777777" w:rsidR="00E4497D" w:rsidRDefault="00E4497D" w:rsidP="00E4497D">
      <w:pPr>
        <w:spacing w:line="240" w:lineRule="auto"/>
        <w:rPr>
          <w:sz w:val="24"/>
          <w:szCs w:val="24"/>
        </w:rPr>
      </w:pPr>
      <w:r w:rsidRPr="00F60CBF">
        <w:rPr>
          <w:b/>
          <w:noProof/>
          <w:sz w:val="28"/>
          <w:szCs w:val="28"/>
        </w:rPr>
        <mc:AlternateContent>
          <mc:Choice Requires="wps">
            <w:drawing>
              <wp:anchor distT="45720" distB="45720" distL="114300" distR="114300" simplePos="0" relativeHeight="251661312" behindDoc="0" locked="0" layoutInCell="1" allowOverlap="1" wp14:anchorId="510A046D" wp14:editId="0858B14D">
                <wp:simplePos x="0" y="0"/>
                <wp:positionH relativeFrom="column">
                  <wp:posOffset>5238750</wp:posOffset>
                </wp:positionH>
                <wp:positionV relativeFrom="paragraph">
                  <wp:posOffset>120015</wp:posOffset>
                </wp:positionV>
                <wp:extent cx="1920875" cy="2505075"/>
                <wp:effectExtent l="0" t="0" r="2222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2505075"/>
                        </a:xfrm>
                        <a:prstGeom prst="rect">
                          <a:avLst/>
                        </a:prstGeom>
                        <a:solidFill>
                          <a:srgbClr val="FFFFFF"/>
                        </a:solidFill>
                        <a:ln w="22225">
                          <a:solidFill>
                            <a:srgbClr val="002060"/>
                          </a:solidFill>
                          <a:miter lim="800000"/>
                          <a:headEnd/>
                          <a:tailEnd/>
                        </a:ln>
                      </wps:spPr>
                      <wps:txbx>
                        <w:txbxContent>
                          <w:p w14:paraId="52D6E2D4" w14:textId="77777777" w:rsidR="00E4497D" w:rsidRDefault="00E4497D" w:rsidP="00E4497D">
                            <w:r>
                              <w:rPr>
                                <w:noProof/>
                              </w:rPr>
                              <w:drawing>
                                <wp:inline distT="0" distB="0" distL="0" distR="0" wp14:anchorId="5D0CD3CC" wp14:editId="50262D2C">
                                  <wp:extent cx="272166" cy="2900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346" cy="297726"/>
                                          </a:xfrm>
                                          <a:prstGeom prst="rect">
                                            <a:avLst/>
                                          </a:prstGeom>
                                        </pic:spPr>
                                      </pic:pic>
                                    </a:graphicData>
                                  </a:graphic>
                                </wp:inline>
                              </w:drawing>
                            </w:r>
                            <w:r>
                              <w:rPr>
                                <w:b/>
                                <w:bCs/>
                                <w:color w:val="000000" w:themeColor="text1"/>
                                <w:sz w:val="24"/>
                                <w:szCs w:val="24"/>
                              </w:rPr>
                              <w:t xml:space="preserve">  </w:t>
                            </w:r>
                            <w:r>
                              <w:rPr>
                                <w:b/>
                                <w:color w:val="002060"/>
                                <w:sz w:val="32"/>
                                <w:szCs w:val="32"/>
                              </w:rPr>
                              <w:t>Download the</w:t>
                            </w:r>
                            <w:r>
                              <w:rPr>
                                <w:b/>
                                <w:color w:val="002060"/>
                                <w:sz w:val="32"/>
                                <w:szCs w:val="32"/>
                              </w:rPr>
                              <w:br/>
                            </w:r>
                            <w:r w:rsidRPr="002B7129">
                              <w:rPr>
                                <w:b/>
                                <w:color w:val="002060"/>
                                <w:sz w:val="32"/>
                                <w:szCs w:val="32"/>
                              </w:rPr>
                              <w:t>Mobile App</w:t>
                            </w:r>
                          </w:p>
                          <w:p w14:paraId="18C8CC0A" w14:textId="77777777" w:rsidR="00E4497D" w:rsidRDefault="00E4497D" w:rsidP="00E4497D">
                            <w:r>
                              <w:t>Download the CloudCME app from the Apple or Google App store.</w:t>
                            </w:r>
                          </w:p>
                          <w:p w14:paraId="6A485A1F" w14:textId="77777777" w:rsidR="00E4497D" w:rsidRPr="0077313B" w:rsidRDefault="00E4497D" w:rsidP="00E4497D">
                            <w:pPr>
                              <w:rPr>
                                <w:b/>
                                <w:bCs/>
                                <w:color w:val="2E74B5" w:themeColor="accent1" w:themeShade="BF"/>
                              </w:rPr>
                            </w:pPr>
                            <w:r>
                              <w:t xml:space="preserve">Enter Organization Code: </w:t>
                            </w:r>
                            <w:r w:rsidRPr="0077313B">
                              <w:rPr>
                                <w:b/>
                                <w:bCs/>
                                <w:color w:val="2E74B5" w:themeColor="accent1" w:themeShade="BF"/>
                              </w:rPr>
                              <w:t>UVA</w:t>
                            </w:r>
                          </w:p>
                          <w:p w14:paraId="74B643D4" w14:textId="77777777" w:rsidR="00E4497D" w:rsidRDefault="00E4497D" w:rsidP="00E4497D">
                            <w:r>
                              <w:t>Log into your account</w:t>
                            </w:r>
                          </w:p>
                          <w:p w14:paraId="0F5523CA" w14:textId="77777777" w:rsidR="00E4497D" w:rsidRDefault="00E4497D" w:rsidP="00E4497D">
                            <w:r>
                              <w:t xml:space="preserve">Select </w:t>
                            </w:r>
                            <w:r w:rsidRPr="002B7129">
                              <w:rPr>
                                <w:b/>
                                <w:bCs/>
                                <w:color w:val="2E74B5" w:themeColor="accent1" w:themeShade="BF"/>
                              </w:rPr>
                              <w:t>Claim Credit</w:t>
                            </w:r>
                            <w:r>
                              <w:t>, then enter the Course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A046D" id="_x0000_s1027" type="#_x0000_t202" style="position:absolute;margin-left:412.5pt;margin-top:9.45pt;width:151.25pt;height:19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" strokecolor="#002060" strokeweight="1.75pt">
                <v:textbox>
                  <w:txbxContent>
                    <w:p w14:paraId="52D6E2D4" w14:textId="77777777" w:rsidR="00E4497D" w:rsidRDefault="00E4497D" w:rsidP="00E4497D">
                      <w:r>
                        <w:rPr>
                          <w:noProof/>
                        </w:rPr>
                        <w:drawing>
                          <wp:inline distT="0" distB="0" distL="0" distR="0" wp14:anchorId="5D0CD3CC" wp14:editId="50262D2C">
                            <wp:extent cx="272166" cy="2900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346" cy="297726"/>
                                    </a:xfrm>
                                    <a:prstGeom prst="rect">
                                      <a:avLst/>
                                    </a:prstGeom>
                                  </pic:spPr>
                                </pic:pic>
                              </a:graphicData>
                            </a:graphic>
                          </wp:inline>
                        </w:drawing>
                      </w:r>
                      <w:r>
                        <w:rPr>
                          <w:b/>
                          <w:bCs/>
                          <w:color w:val="000000" w:themeColor="text1"/>
                          <w:sz w:val="24"/>
                          <w:szCs w:val="24"/>
                        </w:rPr>
                        <w:t xml:space="preserve">  </w:t>
                      </w:r>
                      <w:r>
                        <w:rPr>
                          <w:b/>
                          <w:color w:val="002060"/>
                          <w:sz w:val="32"/>
                          <w:szCs w:val="32"/>
                        </w:rPr>
                        <w:t>Download the</w:t>
                      </w:r>
                      <w:r>
                        <w:rPr>
                          <w:b/>
                          <w:color w:val="002060"/>
                          <w:sz w:val="32"/>
                          <w:szCs w:val="32"/>
                        </w:rPr>
                        <w:br/>
                      </w:r>
                      <w:r w:rsidRPr="002B7129">
                        <w:rPr>
                          <w:b/>
                          <w:color w:val="002060"/>
                          <w:sz w:val="32"/>
                          <w:szCs w:val="32"/>
                        </w:rPr>
                        <w:t>Mobile App</w:t>
                      </w:r>
                    </w:p>
                    <w:p w14:paraId="18C8CC0A" w14:textId="77777777" w:rsidR="00E4497D" w:rsidRDefault="00E4497D" w:rsidP="00E4497D">
                      <w:r>
                        <w:t>Download the CloudCME app from the Apple or Google App store.</w:t>
                      </w:r>
                    </w:p>
                    <w:p w14:paraId="6A485A1F" w14:textId="77777777" w:rsidR="00E4497D" w:rsidRPr="0077313B" w:rsidRDefault="00E4497D" w:rsidP="00E4497D">
                      <w:pPr>
                        <w:rPr>
                          <w:b/>
                          <w:bCs/>
                          <w:color w:val="2E74B5" w:themeColor="accent1" w:themeShade="BF"/>
                        </w:rPr>
                      </w:pPr>
                      <w:r>
                        <w:t xml:space="preserve">Enter Organization Code: </w:t>
                      </w:r>
                      <w:r w:rsidRPr="0077313B">
                        <w:rPr>
                          <w:b/>
                          <w:bCs/>
                          <w:color w:val="2E74B5" w:themeColor="accent1" w:themeShade="BF"/>
                        </w:rPr>
                        <w:t>UVA</w:t>
                      </w:r>
                    </w:p>
                    <w:p w14:paraId="74B643D4" w14:textId="77777777" w:rsidR="00E4497D" w:rsidRDefault="00E4497D" w:rsidP="00E4497D">
                      <w:r>
                        <w:t>Log into your account</w:t>
                      </w:r>
                    </w:p>
                    <w:p w14:paraId="0F5523CA" w14:textId="77777777" w:rsidR="00E4497D" w:rsidRDefault="00E4497D" w:rsidP="00E4497D">
                      <w:r>
                        <w:t xml:space="preserve">Select </w:t>
                      </w:r>
                      <w:r w:rsidRPr="002B7129">
                        <w:rPr>
                          <w:b/>
                          <w:bCs/>
                          <w:color w:val="2E74B5" w:themeColor="accent1" w:themeShade="BF"/>
                        </w:rPr>
                        <w:t>Claim Credit</w:t>
                      </w:r>
                      <w:r>
                        <w:t>, then enter the Course Code.</w:t>
                      </w:r>
                    </w:p>
                  </w:txbxContent>
                </v:textbox>
                <w10:wrap type="square"/>
              </v:shape>
            </w:pict>
          </mc:Fallback>
        </mc:AlternateContent>
      </w:r>
      <w:r w:rsidRPr="00F60CBF">
        <w:rPr>
          <w:b/>
          <w:color w:val="002060"/>
          <w:sz w:val="28"/>
          <w:szCs w:val="28"/>
        </w:rPr>
        <w:t>How long do I have to text for credit?</w:t>
      </w:r>
      <w:r>
        <w:rPr>
          <w:b/>
          <w:sz w:val="24"/>
          <w:szCs w:val="24"/>
        </w:rPr>
        <w:t xml:space="preserve"> </w:t>
      </w:r>
      <w:r>
        <w:rPr>
          <w:b/>
          <w:sz w:val="24"/>
          <w:szCs w:val="24"/>
        </w:rPr>
        <w:br/>
      </w:r>
      <w:r w:rsidRPr="00BC094D">
        <w:rPr>
          <w:sz w:val="24"/>
          <w:szCs w:val="24"/>
        </w:rPr>
        <w:t xml:space="preserve">You may claim credit via text 15 minutes prior and </w:t>
      </w:r>
      <w:r>
        <w:rPr>
          <w:sz w:val="24"/>
          <w:szCs w:val="24"/>
        </w:rPr>
        <w:t xml:space="preserve">until </w:t>
      </w:r>
      <w:r w:rsidRPr="00BC094D">
        <w:rPr>
          <w:sz w:val="24"/>
          <w:szCs w:val="24"/>
        </w:rPr>
        <w:t>7 days after each session.</w:t>
      </w:r>
    </w:p>
    <w:p w14:paraId="4250FEAC" w14:textId="77777777" w:rsidR="00E4497D" w:rsidRPr="00F60CBF" w:rsidRDefault="00E4497D" w:rsidP="00E4497D">
      <w:pPr>
        <w:spacing w:line="240" w:lineRule="auto"/>
        <w:rPr>
          <w:sz w:val="28"/>
          <w:szCs w:val="28"/>
        </w:rPr>
      </w:pPr>
      <w:r w:rsidRPr="00F60CBF">
        <w:rPr>
          <w:b/>
          <w:bCs/>
          <w:sz w:val="28"/>
          <w:szCs w:val="28"/>
        </w:rPr>
        <w:t>If you are viewing this presentation as a pre-recorded video, you will not be able to claim credit.</w:t>
      </w:r>
    </w:p>
    <w:p w14:paraId="3846DD8F" w14:textId="77777777" w:rsidR="00E4497D" w:rsidRPr="00557BCF" w:rsidRDefault="00E4497D" w:rsidP="00E4497D">
      <w:pPr>
        <w:spacing w:line="240" w:lineRule="auto"/>
        <w:rPr>
          <w:b/>
          <w:bCs/>
          <w:color w:val="FF0000"/>
          <w:sz w:val="24"/>
          <w:szCs w:val="24"/>
        </w:rPr>
      </w:pPr>
      <w:r w:rsidRPr="00F60CBF">
        <w:rPr>
          <w:b/>
          <w:color w:val="002060"/>
          <w:sz w:val="28"/>
          <w:szCs w:val="28"/>
        </w:rPr>
        <w:t>How can I claim credit without my phone?</w:t>
      </w:r>
      <w:r w:rsidRPr="00F60CBF">
        <w:rPr>
          <w:b/>
          <w:color w:val="002060"/>
          <w:sz w:val="28"/>
          <w:szCs w:val="28"/>
        </w:rPr>
        <w:br/>
      </w:r>
      <w:r>
        <w:rPr>
          <w:bCs/>
          <w:sz w:val="24"/>
          <w:szCs w:val="24"/>
        </w:rPr>
        <w:t xml:space="preserve">Sign </w:t>
      </w:r>
      <w:r w:rsidRPr="00F02B6E">
        <w:rPr>
          <w:bCs/>
          <w:sz w:val="24"/>
          <w:szCs w:val="24"/>
        </w:rPr>
        <w:t>in</w:t>
      </w:r>
      <w:r>
        <w:rPr>
          <w:bCs/>
          <w:sz w:val="24"/>
          <w:szCs w:val="24"/>
        </w:rPr>
        <w:t xml:space="preserve"> </w:t>
      </w:r>
      <w:r w:rsidRPr="00F02B6E">
        <w:rPr>
          <w:bCs/>
          <w:sz w:val="24"/>
          <w:szCs w:val="24"/>
        </w:rPr>
        <w:t>to your account</w:t>
      </w:r>
      <w:r>
        <w:rPr>
          <w:bCs/>
          <w:sz w:val="24"/>
          <w:szCs w:val="24"/>
        </w:rPr>
        <w:t xml:space="preserve"> at </w:t>
      </w:r>
      <w:r w:rsidRPr="00BC094D">
        <w:rPr>
          <w:b/>
          <w:sz w:val="24"/>
          <w:szCs w:val="24"/>
        </w:rPr>
        <w:t>CMEVillage.com</w:t>
      </w:r>
      <w:r w:rsidRPr="00BC094D">
        <w:rPr>
          <w:bCs/>
          <w:sz w:val="24"/>
          <w:szCs w:val="24"/>
        </w:rPr>
        <w:t xml:space="preserve">. </w:t>
      </w:r>
      <w:r w:rsidRPr="00BC094D">
        <w:rPr>
          <w:b/>
          <w:bCs/>
          <w:strike/>
          <w:sz w:val="24"/>
          <w:szCs w:val="24"/>
        </w:rPr>
        <w:t xml:space="preserve"> </w:t>
      </w:r>
    </w:p>
    <w:p w14:paraId="11AE7EF5" w14:textId="77777777" w:rsidR="00E4497D" w:rsidRPr="00F02B6E" w:rsidRDefault="00E4497D" w:rsidP="00E4497D">
      <w:pPr>
        <w:pStyle w:val="ListParagraph"/>
        <w:numPr>
          <w:ilvl w:val="2"/>
          <w:numId w:val="5"/>
        </w:numPr>
        <w:spacing w:after="160" w:line="240" w:lineRule="auto"/>
        <w:rPr>
          <w:b/>
          <w:color w:val="000000" w:themeColor="text1"/>
          <w:sz w:val="24"/>
          <w:szCs w:val="24"/>
        </w:rPr>
      </w:pPr>
      <w:r w:rsidRPr="00F02B6E">
        <w:rPr>
          <w:b/>
          <w:sz w:val="24"/>
          <w:szCs w:val="24"/>
        </w:rPr>
        <w:t xml:space="preserve">UVA Employees: </w:t>
      </w:r>
      <w:r w:rsidRPr="00F02B6E">
        <w:rPr>
          <w:sz w:val="24"/>
          <w:szCs w:val="24"/>
        </w:rPr>
        <w:t xml:space="preserve">Log-in with </w:t>
      </w:r>
      <w:r w:rsidRPr="00F02B6E">
        <w:rPr>
          <w:b/>
          <w:color w:val="000000" w:themeColor="text1"/>
          <w:sz w:val="24"/>
          <w:szCs w:val="24"/>
        </w:rPr>
        <w:t>UVA Computing ID</w:t>
      </w:r>
      <w:r>
        <w:rPr>
          <w:b/>
          <w:color w:val="000000" w:themeColor="text1"/>
          <w:sz w:val="24"/>
          <w:szCs w:val="24"/>
        </w:rPr>
        <w:t xml:space="preserve"> and password</w:t>
      </w:r>
      <w:r w:rsidRPr="00F02B6E">
        <w:rPr>
          <w:b/>
          <w:color w:val="000000" w:themeColor="text1"/>
          <w:sz w:val="24"/>
          <w:szCs w:val="24"/>
        </w:rPr>
        <w:t xml:space="preserve">. </w:t>
      </w:r>
    </w:p>
    <w:p w14:paraId="6E4945D5" w14:textId="77777777" w:rsidR="00E4497D" w:rsidRPr="00F02B6E" w:rsidRDefault="00E4497D" w:rsidP="00E4497D">
      <w:pPr>
        <w:pStyle w:val="ListParagraph"/>
        <w:numPr>
          <w:ilvl w:val="2"/>
          <w:numId w:val="5"/>
        </w:numPr>
        <w:spacing w:after="160" w:line="240" w:lineRule="auto"/>
        <w:rPr>
          <w:b/>
          <w:sz w:val="24"/>
          <w:szCs w:val="24"/>
        </w:rPr>
      </w:pPr>
      <w:r w:rsidRPr="00F02B6E">
        <w:rPr>
          <w:b/>
          <w:sz w:val="24"/>
          <w:szCs w:val="24"/>
        </w:rPr>
        <w:t xml:space="preserve">Non-Employees: </w:t>
      </w:r>
      <w:r w:rsidRPr="00F02B6E">
        <w:rPr>
          <w:sz w:val="24"/>
          <w:szCs w:val="24"/>
        </w:rPr>
        <w:t xml:space="preserve">Log-in with your </w:t>
      </w:r>
      <w:r w:rsidRPr="00F02B6E">
        <w:rPr>
          <w:b/>
          <w:color w:val="000000" w:themeColor="text1"/>
          <w:sz w:val="24"/>
          <w:szCs w:val="24"/>
        </w:rPr>
        <w:t xml:space="preserve">Email and Password.  </w:t>
      </w:r>
    </w:p>
    <w:p w14:paraId="0C08EB80" w14:textId="77777777" w:rsidR="00E4497D" w:rsidRPr="00F02B6E" w:rsidRDefault="00E4497D" w:rsidP="00E4497D">
      <w:pPr>
        <w:pStyle w:val="ListParagraph"/>
        <w:numPr>
          <w:ilvl w:val="3"/>
          <w:numId w:val="5"/>
        </w:numPr>
        <w:spacing w:after="160" w:line="240" w:lineRule="auto"/>
        <w:rPr>
          <w:b/>
          <w:sz w:val="24"/>
          <w:szCs w:val="24"/>
        </w:rPr>
      </w:pPr>
      <w:r w:rsidRPr="00F02B6E">
        <w:rPr>
          <w:b/>
          <w:sz w:val="24"/>
          <w:szCs w:val="24"/>
        </w:rPr>
        <w:t xml:space="preserve">Don’t know your password? </w:t>
      </w:r>
      <w:r w:rsidRPr="00F02B6E">
        <w:rPr>
          <w:sz w:val="24"/>
          <w:szCs w:val="24"/>
        </w:rPr>
        <w:t>Select “Forgot Your Password.”</w:t>
      </w:r>
      <w:r w:rsidRPr="00F02B6E">
        <w:rPr>
          <w:b/>
          <w:sz w:val="24"/>
          <w:szCs w:val="24"/>
        </w:rPr>
        <w:t xml:space="preserve">  </w:t>
      </w:r>
    </w:p>
    <w:p w14:paraId="4D3F4F5D" w14:textId="77777777" w:rsidR="00E4497D" w:rsidRPr="00BC094D" w:rsidRDefault="00E4497D" w:rsidP="00E4497D">
      <w:pPr>
        <w:pStyle w:val="ListParagraph"/>
        <w:numPr>
          <w:ilvl w:val="3"/>
          <w:numId w:val="5"/>
        </w:numPr>
        <w:spacing w:after="160" w:line="240" w:lineRule="auto"/>
        <w:rPr>
          <w:bCs/>
          <w:sz w:val="24"/>
          <w:szCs w:val="24"/>
        </w:rPr>
      </w:pPr>
      <w:r w:rsidRPr="00BC094D">
        <w:rPr>
          <w:b/>
          <w:sz w:val="24"/>
          <w:szCs w:val="24"/>
        </w:rPr>
        <w:t xml:space="preserve">First Time attending a UVA CE Course? </w:t>
      </w:r>
      <w:r w:rsidRPr="00BC094D">
        <w:rPr>
          <w:sz w:val="24"/>
          <w:szCs w:val="24"/>
        </w:rPr>
        <w:t>Select “Sign Up Now.”</w:t>
      </w:r>
    </w:p>
    <w:p w14:paraId="10D46FAA" w14:textId="77777777" w:rsidR="00E4497D" w:rsidRPr="00F60CBF" w:rsidRDefault="00E4497D" w:rsidP="00E4497D">
      <w:pPr>
        <w:spacing w:line="240" w:lineRule="auto"/>
        <w:rPr>
          <w:b/>
          <w:color w:val="002060"/>
          <w:sz w:val="28"/>
          <w:szCs w:val="28"/>
        </w:rPr>
      </w:pPr>
      <w:bookmarkStart w:id="0" w:name="_Hlk173838277"/>
      <w:r w:rsidRPr="00F60CBF">
        <w:rPr>
          <w:b/>
          <w:color w:val="002060"/>
          <w:sz w:val="28"/>
          <w:szCs w:val="28"/>
        </w:rPr>
        <w:t>Need Assistance with CloudCME?</w:t>
      </w:r>
      <w:r w:rsidRPr="00F60CBF">
        <w:rPr>
          <w:b/>
          <w:sz w:val="28"/>
          <w:szCs w:val="28"/>
        </w:rPr>
        <w:br/>
      </w:r>
      <w:r w:rsidRPr="00F60CBF">
        <w:rPr>
          <w:bCs/>
          <w:sz w:val="28"/>
          <w:szCs w:val="28"/>
        </w:rPr>
        <w:t xml:space="preserve">Contact: </w:t>
      </w:r>
      <w:hyperlink r:id="rId12" w:history="1">
        <w:r w:rsidRPr="00F60CBF">
          <w:rPr>
            <w:rStyle w:val="Hyperlink"/>
            <w:b/>
            <w:sz w:val="28"/>
            <w:szCs w:val="28"/>
          </w:rPr>
          <w:t>uvace@uvahealth.org</w:t>
        </w:r>
      </w:hyperlink>
      <w:r w:rsidRPr="00F60CBF">
        <w:rPr>
          <w:bCs/>
          <w:sz w:val="28"/>
          <w:szCs w:val="28"/>
        </w:rPr>
        <w:t>. We’re here to help!</w:t>
      </w:r>
      <w:bookmarkEnd w:id="0"/>
    </w:p>
    <w:p w14:paraId="40CC8E2C" w14:textId="77777777" w:rsidR="00E4497D" w:rsidRPr="00E23C72" w:rsidRDefault="00E4497D" w:rsidP="00E4497D">
      <w:pPr>
        <w:spacing w:line="240" w:lineRule="auto"/>
        <w:rPr>
          <w:rFonts w:ascii="Georgia" w:hAnsi="Georgia"/>
          <w:b/>
          <w:bCs/>
          <w:u w:val="single"/>
        </w:rPr>
      </w:pPr>
      <w:r w:rsidRPr="00E23C72">
        <w:rPr>
          <w:rFonts w:ascii="Georgia" w:hAnsi="Georgia"/>
          <w:b/>
          <w:bCs/>
          <w:u w:val="single"/>
        </w:rPr>
        <w:t xml:space="preserve">References: </w:t>
      </w:r>
    </w:p>
    <w:p w14:paraId="2F6BD247" w14:textId="77777777" w:rsidR="00E4497D" w:rsidRDefault="00E4497D" w:rsidP="00E4497D">
      <w:pPr>
        <w:pStyle w:val="ListParagraph"/>
        <w:numPr>
          <w:ilvl w:val="0"/>
          <w:numId w:val="11"/>
        </w:numPr>
        <w:spacing w:after="0" w:line="240" w:lineRule="auto"/>
      </w:pPr>
      <w:r>
        <w:rPr>
          <w:i/>
          <w:iCs/>
        </w:rPr>
        <w:t xml:space="preserve">The Art of Flourishing: Conversations on Disability </w:t>
      </w:r>
      <w:r>
        <w:t xml:space="preserve">(eds. Liz Bowen, Joel Michael Reynolds, Rosemarie Garland-Thomson, and Erik </w:t>
      </w:r>
      <w:proofErr w:type="spellStart"/>
      <w:r>
        <w:t>Parens</w:t>
      </w:r>
      <w:proofErr w:type="spellEnd"/>
      <w:r>
        <w:t>; Oxford University Press, 2025)</w:t>
      </w:r>
    </w:p>
    <w:p w14:paraId="566EAD08" w14:textId="77777777" w:rsidR="00E4497D" w:rsidRDefault="00E4497D" w:rsidP="00E4497D">
      <w:pPr>
        <w:pStyle w:val="ListParagraph"/>
        <w:numPr>
          <w:ilvl w:val="0"/>
          <w:numId w:val="11"/>
        </w:numPr>
        <w:spacing w:after="0" w:line="240" w:lineRule="auto"/>
      </w:pPr>
      <w:r>
        <w:rPr>
          <w:i/>
          <w:iCs/>
        </w:rPr>
        <w:t xml:space="preserve">Sensory Futures: Deafness and Cochlear Implant Infrastructures in India </w:t>
      </w:r>
      <w:r>
        <w:t xml:space="preserve">(Michele </w:t>
      </w:r>
      <w:proofErr w:type="spellStart"/>
      <w:r>
        <w:t>Friedner</w:t>
      </w:r>
      <w:proofErr w:type="spellEnd"/>
      <w:r>
        <w:t>; University of Minnesota Press, 2022)</w:t>
      </w:r>
    </w:p>
    <w:p w14:paraId="6EF0F16E" w14:textId="77777777" w:rsidR="00E4497D" w:rsidRDefault="00E4497D" w:rsidP="00E4497D">
      <w:pPr>
        <w:pStyle w:val="ListParagraph"/>
        <w:numPr>
          <w:ilvl w:val="0"/>
          <w:numId w:val="11"/>
        </w:numPr>
        <w:spacing w:after="0" w:line="240" w:lineRule="auto"/>
      </w:pPr>
      <w:r>
        <w:rPr>
          <w:i/>
          <w:iCs/>
        </w:rPr>
        <w:t xml:space="preserve">About Us: Essays from the Disability Series of the New York Times </w:t>
      </w:r>
      <w:r>
        <w:t xml:space="preserve">(eds. Peter </w:t>
      </w:r>
      <w:proofErr w:type="spellStart"/>
      <w:r>
        <w:t>Catapano</w:t>
      </w:r>
      <w:proofErr w:type="spellEnd"/>
      <w:r>
        <w:t xml:space="preserve"> and Rosemarie Garland-Thomson; Liveright, 2019)</w:t>
      </w:r>
    </w:p>
    <w:p w14:paraId="653DB551" w14:textId="48CB58E0" w:rsidR="00E4497D" w:rsidRPr="00E4497D" w:rsidRDefault="00E4497D" w:rsidP="00E4497D">
      <w:pPr>
        <w:pStyle w:val="ListParagraph"/>
        <w:numPr>
          <w:ilvl w:val="0"/>
          <w:numId w:val="11"/>
        </w:numPr>
        <w:spacing w:after="0" w:line="240" w:lineRule="auto"/>
      </w:pPr>
      <w:r>
        <w:rPr>
          <w:i/>
          <w:iCs/>
        </w:rPr>
        <w:t xml:space="preserve">Deaf Identities: Exploring New Frontiers </w:t>
      </w:r>
      <w:r>
        <w:t>(eds. Irene Leigh and Catherine O’Brien; Oxford University Press, 2019)</w:t>
      </w:r>
    </w:p>
    <w:p w14:paraId="1E48056B" w14:textId="77777777" w:rsidR="00E4497D" w:rsidRPr="00392D9A" w:rsidRDefault="00E4497D" w:rsidP="00392D9A">
      <w:pPr>
        <w:pStyle w:val="BodyText"/>
        <w:spacing w:line="220" w:lineRule="exact"/>
        <w:jc w:val="center"/>
        <w:rPr>
          <w:rFonts w:ascii="Georgia" w:eastAsia="Times New Roman" w:hAnsi="Georgia" w:cs="Times New Roman"/>
          <w:sz w:val="22"/>
          <w:szCs w:val="22"/>
        </w:rPr>
      </w:pPr>
    </w:p>
    <w:sectPr w:rsidR="00E4497D" w:rsidRPr="00392D9A" w:rsidSect="00CA61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1.75pt;height:279pt;visibility:visible;mso-wrap-style:square" o:bullet="t">
        <v:imagedata r:id="rId1" o:title=""/>
      </v:shape>
    </w:pict>
  </w:numPicBullet>
  <w:abstractNum w:abstractNumId="0" w15:restartNumberingAfterBreak="0">
    <w:nsid w:val="0C960B8D"/>
    <w:multiLevelType w:val="hybridMultilevel"/>
    <w:tmpl w:val="8030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56F2C"/>
    <w:multiLevelType w:val="hybridMultilevel"/>
    <w:tmpl w:val="6172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5157A"/>
    <w:multiLevelType w:val="hybridMultilevel"/>
    <w:tmpl w:val="2620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80471"/>
    <w:multiLevelType w:val="hybridMultilevel"/>
    <w:tmpl w:val="ACE0A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6B6FA0"/>
    <w:multiLevelType w:val="hybridMultilevel"/>
    <w:tmpl w:val="2AE8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F320C"/>
    <w:multiLevelType w:val="hybridMultilevel"/>
    <w:tmpl w:val="6FB4C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873CC"/>
    <w:multiLevelType w:val="hybridMultilevel"/>
    <w:tmpl w:val="45AE7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D41296"/>
    <w:multiLevelType w:val="hybridMultilevel"/>
    <w:tmpl w:val="7BC0F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72691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DBD066D"/>
    <w:multiLevelType w:val="hybridMultilevel"/>
    <w:tmpl w:val="87346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234797"/>
    <w:multiLevelType w:val="hybridMultilevel"/>
    <w:tmpl w:val="410E1DB4"/>
    <w:lvl w:ilvl="0" w:tplc="C780FF86">
      <w:start w:val="1"/>
      <w:numFmt w:val="bullet"/>
      <w:lvlText w:val=""/>
      <w:lvlPicBulletId w:val="0"/>
      <w:lvlJc w:val="left"/>
      <w:pPr>
        <w:tabs>
          <w:tab w:val="num" w:pos="720"/>
        </w:tabs>
        <w:ind w:left="720" w:hanging="360"/>
      </w:pPr>
      <w:rPr>
        <w:rFonts w:ascii="Symbol" w:hAnsi="Symbol" w:hint="default"/>
      </w:rPr>
    </w:lvl>
    <w:lvl w:ilvl="1" w:tplc="5B52E2A0" w:tentative="1">
      <w:start w:val="1"/>
      <w:numFmt w:val="bullet"/>
      <w:lvlText w:val=""/>
      <w:lvlJc w:val="left"/>
      <w:pPr>
        <w:tabs>
          <w:tab w:val="num" w:pos="1440"/>
        </w:tabs>
        <w:ind w:left="1440" w:hanging="360"/>
      </w:pPr>
      <w:rPr>
        <w:rFonts w:ascii="Symbol" w:hAnsi="Symbol" w:hint="default"/>
      </w:rPr>
    </w:lvl>
    <w:lvl w:ilvl="2" w:tplc="C11016A4" w:tentative="1">
      <w:start w:val="1"/>
      <w:numFmt w:val="bullet"/>
      <w:lvlText w:val=""/>
      <w:lvlJc w:val="left"/>
      <w:pPr>
        <w:tabs>
          <w:tab w:val="num" w:pos="2160"/>
        </w:tabs>
        <w:ind w:left="2160" w:hanging="360"/>
      </w:pPr>
      <w:rPr>
        <w:rFonts w:ascii="Symbol" w:hAnsi="Symbol" w:hint="default"/>
      </w:rPr>
    </w:lvl>
    <w:lvl w:ilvl="3" w:tplc="EF341D7A" w:tentative="1">
      <w:start w:val="1"/>
      <w:numFmt w:val="bullet"/>
      <w:lvlText w:val=""/>
      <w:lvlJc w:val="left"/>
      <w:pPr>
        <w:tabs>
          <w:tab w:val="num" w:pos="2880"/>
        </w:tabs>
        <w:ind w:left="2880" w:hanging="360"/>
      </w:pPr>
      <w:rPr>
        <w:rFonts w:ascii="Symbol" w:hAnsi="Symbol" w:hint="default"/>
      </w:rPr>
    </w:lvl>
    <w:lvl w:ilvl="4" w:tplc="42D659FA" w:tentative="1">
      <w:start w:val="1"/>
      <w:numFmt w:val="bullet"/>
      <w:lvlText w:val=""/>
      <w:lvlJc w:val="left"/>
      <w:pPr>
        <w:tabs>
          <w:tab w:val="num" w:pos="3600"/>
        </w:tabs>
        <w:ind w:left="3600" w:hanging="360"/>
      </w:pPr>
      <w:rPr>
        <w:rFonts w:ascii="Symbol" w:hAnsi="Symbol" w:hint="default"/>
      </w:rPr>
    </w:lvl>
    <w:lvl w:ilvl="5" w:tplc="5844A75E" w:tentative="1">
      <w:start w:val="1"/>
      <w:numFmt w:val="bullet"/>
      <w:lvlText w:val=""/>
      <w:lvlJc w:val="left"/>
      <w:pPr>
        <w:tabs>
          <w:tab w:val="num" w:pos="4320"/>
        </w:tabs>
        <w:ind w:left="4320" w:hanging="360"/>
      </w:pPr>
      <w:rPr>
        <w:rFonts w:ascii="Symbol" w:hAnsi="Symbol" w:hint="default"/>
      </w:rPr>
    </w:lvl>
    <w:lvl w:ilvl="6" w:tplc="59768574" w:tentative="1">
      <w:start w:val="1"/>
      <w:numFmt w:val="bullet"/>
      <w:lvlText w:val=""/>
      <w:lvlJc w:val="left"/>
      <w:pPr>
        <w:tabs>
          <w:tab w:val="num" w:pos="5040"/>
        </w:tabs>
        <w:ind w:left="5040" w:hanging="360"/>
      </w:pPr>
      <w:rPr>
        <w:rFonts w:ascii="Symbol" w:hAnsi="Symbol" w:hint="default"/>
      </w:rPr>
    </w:lvl>
    <w:lvl w:ilvl="7" w:tplc="4396256A" w:tentative="1">
      <w:start w:val="1"/>
      <w:numFmt w:val="bullet"/>
      <w:lvlText w:val=""/>
      <w:lvlJc w:val="left"/>
      <w:pPr>
        <w:tabs>
          <w:tab w:val="num" w:pos="5760"/>
        </w:tabs>
        <w:ind w:left="5760" w:hanging="360"/>
      </w:pPr>
      <w:rPr>
        <w:rFonts w:ascii="Symbol" w:hAnsi="Symbol" w:hint="default"/>
      </w:rPr>
    </w:lvl>
    <w:lvl w:ilvl="8" w:tplc="D8C8335A"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4"/>
  </w:num>
  <w:num w:numId="3">
    <w:abstractNumId w:val="0"/>
  </w:num>
  <w:num w:numId="4">
    <w:abstractNumId w:val="3"/>
  </w:num>
  <w:num w:numId="5">
    <w:abstractNumId w:val="8"/>
  </w:num>
  <w:num w:numId="6">
    <w:abstractNumId w:val="10"/>
  </w:num>
  <w:num w:numId="7">
    <w:abstractNumId w:val="5"/>
  </w:num>
  <w:num w:numId="8">
    <w:abstractNumId w:val="9"/>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AF"/>
    <w:rsid w:val="0002199A"/>
    <w:rsid w:val="00071C68"/>
    <w:rsid w:val="00081F35"/>
    <w:rsid w:val="000939D5"/>
    <w:rsid w:val="000953C1"/>
    <w:rsid w:val="000975DE"/>
    <w:rsid w:val="000C1801"/>
    <w:rsid w:val="000E19C2"/>
    <w:rsid w:val="000E59DE"/>
    <w:rsid w:val="001961B3"/>
    <w:rsid w:val="00212733"/>
    <w:rsid w:val="00215443"/>
    <w:rsid w:val="00271B8C"/>
    <w:rsid w:val="00296F63"/>
    <w:rsid w:val="00311294"/>
    <w:rsid w:val="0033753C"/>
    <w:rsid w:val="00363F78"/>
    <w:rsid w:val="00366F5D"/>
    <w:rsid w:val="00376DE4"/>
    <w:rsid w:val="00392D9A"/>
    <w:rsid w:val="003A241A"/>
    <w:rsid w:val="003C5886"/>
    <w:rsid w:val="00400C31"/>
    <w:rsid w:val="004A093D"/>
    <w:rsid w:val="004B1E82"/>
    <w:rsid w:val="004B6B8E"/>
    <w:rsid w:val="00623B79"/>
    <w:rsid w:val="00651E34"/>
    <w:rsid w:val="00655108"/>
    <w:rsid w:val="006726A2"/>
    <w:rsid w:val="006863EB"/>
    <w:rsid w:val="00781A53"/>
    <w:rsid w:val="00804076"/>
    <w:rsid w:val="008125D6"/>
    <w:rsid w:val="00883C0C"/>
    <w:rsid w:val="008E2BF0"/>
    <w:rsid w:val="009020E1"/>
    <w:rsid w:val="009277AF"/>
    <w:rsid w:val="009B3587"/>
    <w:rsid w:val="009B70FD"/>
    <w:rsid w:val="009F58E7"/>
    <w:rsid w:val="00A341DB"/>
    <w:rsid w:val="00A42B97"/>
    <w:rsid w:val="00AC2421"/>
    <w:rsid w:val="00AC33FC"/>
    <w:rsid w:val="00B00DAE"/>
    <w:rsid w:val="00B07A09"/>
    <w:rsid w:val="00B136E8"/>
    <w:rsid w:val="00B2280C"/>
    <w:rsid w:val="00B54DE8"/>
    <w:rsid w:val="00B617AC"/>
    <w:rsid w:val="00B9379E"/>
    <w:rsid w:val="00BF1338"/>
    <w:rsid w:val="00BF7DB3"/>
    <w:rsid w:val="00C2518D"/>
    <w:rsid w:val="00C82079"/>
    <w:rsid w:val="00CA6191"/>
    <w:rsid w:val="00CC79C9"/>
    <w:rsid w:val="00D22FDE"/>
    <w:rsid w:val="00D238CC"/>
    <w:rsid w:val="00D24B7E"/>
    <w:rsid w:val="00D967A0"/>
    <w:rsid w:val="00E23C72"/>
    <w:rsid w:val="00E4497D"/>
    <w:rsid w:val="00EC5402"/>
    <w:rsid w:val="00EC6B1F"/>
    <w:rsid w:val="00F31558"/>
    <w:rsid w:val="00F60CBF"/>
    <w:rsid w:val="00FE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E5E363"/>
  <w15:chartTrackingRefBased/>
  <w15:docId w15:val="{6A2E7A35-148B-401C-B774-D2245D78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7AF"/>
    <w:pPr>
      <w:spacing w:after="200" w:line="276" w:lineRule="auto"/>
    </w:pPr>
  </w:style>
  <w:style w:type="paragraph" w:styleId="Heading1">
    <w:name w:val="heading 1"/>
    <w:basedOn w:val="Normal"/>
    <w:link w:val="Heading1Char"/>
    <w:uiPriority w:val="9"/>
    <w:qFormat/>
    <w:rsid w:val="006726A2"/>
    <w:pPr>
      <w:widowControl w:val="0"/>
      <w:autoSpaceDE w:val="0"/>
      <w:autoSpaceDN w:val="0"/>
      <w:spacing w:after="0" w:line="240" w:lineRule="auto"/>
      <w:ind w:left="112"/>
      <w:outlineLvl w:val="0"/>
    </w:pPr>
    <w:rPr>
      <w:rFonts w:ascii="Calibri" w:eastAsia="Calibri" w:hAnsi="Calibri" w:cs="Calibri"/>
      <w:b/>
      <w:bCs/>
      <w:lang w:bidi="en-US"/>
    </w:rPr>
  </w:style>
  <w:style w:type="paragraph" w:styleId="Heading2">
    <w:name w:val="heading 2"/>
    <w:basedOn w:val="Normal"/>
    <w:next w:val="Normal"/>
    <w:link w:val="Heading2Char"/>
    <w:uiPriority w:val="9"/>
    <w:semiHidden/>
    <w:unhideWhenUsed/>
    <w:qFormat/>
    <w:rsid w:val="006726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B6B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77AF"/>
    <w:pPr>
      <w:spacing w:after="0" w:line="240" w:lineRule="auto"/>
    </w:pPr>
    <w:rPr>
      <w:rFonts w:ascii="Calibri" w:eastAsia="Times New Roman" w:hAnsi="Calibri" w:cs="Times New Roman"/>
    </w:rPr>
  </w:style>
  <w:style w:type="paragraph" w:styleId="ListParagraph">
    <w:name w:val="List Paragraph"/>
    <w:basedOn w:val="Normal"/>
    <w:uiPriority w:val="34"/>
    <w:qFormat/>
    <w:rsid w:val="004B1E82"/>
    <w:pPr>
      <w:ind w:left="720"/>
      <w:contextualSpacing/>
    </w:pPr>
  </w:style>
  <w:style w:type="character" w:styleId="Hyperlink">
    <w:name w:val="Hyperlink"/>
    <w:basedOn w:val="DefaultParagraphFont"/>
    <w:uiPriority w:val="99"/>
    <w:unhideWhenUsed/>
    <w:rsid w:val="006726A2"/>
    <w:rPr>
      <w:color w:val="0563C1" w:themeColor="hyperlink"/>
      <w:u w:val="single"/>
    </w:rPr>
  </w:style>
  <w:style w:type="character" w:customStyle="1" w:styleId="Heading1Char">
    <w:name w:val="Heading 1 Char"/>
    <w:basedOn w:val="DefaultParagraphFont"/>
    <w:link w:val="Heading1"/>
    <w:uiPriority w:val="9"/>
    <w:rsid w:val="006726A2"/>
    <w:rPr>
      <w:rFonts w:ascii="Calibri" w:eastAsia="Calibri" w:hAnsi="Calibri" w:cs="Calibri"/>
      <w:b/>
      <w:bCs/>
      <w:lang w:bidi="en-US"/>
    </w:rPr>
  </w:style>
  <w:style w:type="paragraph" w:styleId="BodyText">
    <w:name w:val="Body Text"/>
    <w:basedOn w:val="Normal"/>
    <w:link w:val="BodyTextChar"/>
    <w:uiPriority w:val="1"/>
    <w:qFormat/>
    <w:rsid w:val="006726A2"/>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6726A2"/>
    <w:rPr>
      <w:rFonts w:ascii="Calibri" w:eastAsia="Calibri" w:hAnsi="Calibri" w:cs="Calibri"/>
      <w:sz w:val="20"/>
      <w:szCs w:val="20"/>
      <w:lang w:bidi="en-US"/>
    </w:rPr>
  </w:style>
  <w:style w:type="character" w:customStyle="1" w:styleId="Heading2Char">
    <w:name w:val="Heading 2 Char"/>
    <w:basedOn w:val="DefaultParagraphFont"/>
    <w:link w:val="Heading2"/>
    <w:uiPriority w:val="9"/>
    <w:semiHidden/>
    <w:rsid w:val="006726A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12733"/>
    <w:rPr>
      <w:color w:val="605E5C"/>
      <w:shd w:val="clear" w:color="auto" w:fill="E1DFDD"/>
    </w:rPr>
  </w:style>
  <w:style w:type="paragraph" w:styleId="NormalWeb">
    <w:name w:val="Normal (Web)"/>
    <w:basedOn w:val="Normal"/>
    <w:uiPriority w:val="99"/>
    <w:semiHidden/>
    <w:unhideWhenUsed/>
    <w:rsid w:val="00BF7D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B6B8E"/>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AC2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96589">
      <w:bodyDiv w:val="1"/>
      <w:marLeft w:val="0"/>
      <w:marRight w:val="0"/>
      <w:marTop w:val="0"/>
      <w:marBottom w:val="0"/>
      <w:divBdr>
        <w:top w:val="none" w:sz="0" w:space="0" w:color="auto"/>
        <w:left w:val="none" w:sz="0" w:space="0" w:color="auto"/>
        <w:bottom w:val="none" w:sz="0" w:space="0" w:color="auto"/>
        <w:right w:val="none" w:sz="0" w:space="0" w:color="auto"/>
      </w:divBdr>
    </w:div>
    <w:div w:id="728000068">
      <w:bodyDiv w:val="1"/>
      <w:marLeft w:val="0"/>
      <w:marRight w:val="0"/>
      <w:marTop w:val="0"/>
      <w:marBottom w:val="0"/>
      <w:divBdr>
        <w:top w:val="none" w:sz="0" w:space="0" w:color="auto"/>
        <w:left w:val="none" w:sz="0" w:space="0" w:color="auto"/>
        <w:bottom w:val="none" w:sz="0" w:space="0" w:color="auto"/>
        <w:right w:val="none" w:sz="0" w:space="0" w:color="auto"/>
      </w:divBdr>
    </w:div>
    <w:div w:id="1160656605">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589651975">
      <w:bodyDiv w:val="1"/>
      <w:marLeft w:val="0"/>
      <w:marRight w:val="0"/>
      <w:marTop w:val="0"/>
      <w:marBottom w:val="0"/>
      <w:divBdr>
        <w:top w:val="none" w:sz="0" w:space="0" w:color="auto"/>
        <w:left w:val="none" w:sz="0" w:space="0" w:color="auto"/>
        <w:bottom w:val="none" w:sz="0" w:space="0" w:color="auto"/>
        <w:right w:val="none" w:sz="0" w:space="0" w:color="auto"/>
      </w:divBdr>
    </w:div>
    <w:div w:id="1601181020">
      <w:bodyDiv w:val="1"/>
      <w:marLeft w:val="0"/>
      <w:marRight w:val="0"/>
      <w:marTop w:val="0"/>
      <w:marBottom w:val="0"/>
      <w:divBdr>
        <w:top w:val="none" w:sz="0" w:space="0" w:color="auto"/>
        <w:left w:val="none" w:sz="0" w:space="0" w:color="auto"/>
        <w:bottom w:val="none" w:sz="0" w:space="0" w:color="auto"/>
        <w:right w:val="none" w:sz="0" w:space="0" w:color="auto"/>
      </w:divBdr>
    </w:div>
    <w:div w:id="1764564713">
      <w:bodyDiv w:val="1"/>
      <w:marLeft w:val="0"/>
      <w:marRight w:val="0"/>
      <w:marTop w:val="0"/>
      <w:marBottom w:val="0"/>
      <w:divBdr>
        <w:top w:val="none" w:sz="0" w:space="0" w:color="auto"/>
        <w:left w:val="none" w:sz="0" w:space="0" w:color="auto"/>
        <w:bottom w:val="none" w:sz="0" w:space="0" w:color="auto"/>
        <w:right w:val="none" w:sz="0" w:space="0" w:color="auto"/>
      </w:divBdr>
    </w:div>
    <w:div w:id="1799832371">
      <w:bodyDiv w:val="1"/>
      <w:marLeft w:val="0"/>
      <w:marRight w:val="0"/>
      <w:marTop w:val="0"/>
      <w:marBottom w:val="0"/>
      <w:divBdr>
        <w:top w:val="none" w:sz="0" w:space="0" w:color="auto"/>
        <w:left w:val="none" w:sz="0" w:space="0" w:color="auto"/>
        <w:bottom w:val="none" w:sz="0" w:space="0" w:color="auto"/>
        <w:right w:val="none" w:sz="0" w:space="0" w:color="auto"/>
      </w:divBdr>
    </w:div>
    <w:div w:id="210772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uvace@uva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9105967067" TargetMode="External"/><Relationship Id="rId11" Type="http://schemas.openxmlformats.org/officeDocument/2006/relationships/image" Target="media/image6.png"/><Relationship Id="rId5" Type="http://schemas.openxmlformats.org/officeDocument/2006/relationships/image" Target="media/image2.pn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s://med.virginia.edu/biomedical-ethics/medical-center-hou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 Justin *HS</dc:creator>
  <cp:keywords/>
  <dc:description/>
  <cp:lastModifiedBy>Kaufman, Charlene M *HS</cp:lastModifiedBy>
  <cp:revision>2</cp:revision>
  <cp:lastPrinted>2025-09-08T17:02:00Z</cp:lastPrinted>
  <dcterms:created xsi:type="dcterms:W3CDTF">2025-10-28T15:58:00Z</dcterms:created>
  <dcterms:modified xsi:type="dcterms:W3CDTF">2025-10-28T15:58:00Z</dcterms:modified>
</cp:coreProperties>
</file>