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C4D3" w14:textId="166CB063" w:rsidR="00A71C4E" w:rsidRDefault="00BB3336" w:rsidP="00817DA5">
      <w:pPr>
        <w:pStyle w:val="Title"/>
        <w:ind w:right="1440"/>
      </w:pPr>
      <w:r>
        <w:rPr>
          <w:color w:val="70AD47" w:themeColor="accent6"/>
        </w:rPr>
        <w:drawing>
          <wp:anchor distT="0" distB="0" distL="114300" distR="114300" simplePos="0" relativeHeight="251665408" behindDoc="1" locked="0" layoutInCell="1" allowOverlap="1" wp14:anchorId="77A1FD29" wp14:editId="084E7C7D">
            <wp:simplePos x="0" y="0"/>
            <wp:positionH relativeFrom="column">
              <wp:posOffset>5295900</wp:posOffset>
            </wp:positionH>
            <wp:positionV relativeFrom="paragraph">
              <wp:posOffset>-254000</wp:posOffset>
            </wp:positionV>
            <wp:extent cx="1795096" cy="666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09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076"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B310F7" wp14:editId="21467524">
                <wp:simplePos x="0" y="0"/>
                <wp:positionH relativeFrom="column">
                  <wp:posOffset>-876300</wp:posOffset>
                </wp:positionH>
                <wp:positionV relativeFrom="paragraph">
                  <wp:posOffset>-742950</wp:posOffset>
                </wp:positionV>
                <wp:extent cx="8277225" cy="1762125"/>
                <wp:effectExtent l="0" t="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7225" cy="1762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1EF18" id="Rectangle 5" o:spid="_x0000_s1026" style="position:absolute;margin-left:-69pt;margin-top:-58.5pt;width:651.75pt;height:13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" fillcolor="#1f3763 [1604]" stroked="f">
                <v:textbox inset=",7.2pt,,7.2pt"/>
              </v:rect>
            </w:pict>
          </mc:Fallback>
        </mc:AlternateContent>
      </w:r>
      <w:r w:rsidR="00A71C4E">
        <w:t xml:space="preserve">Common Budget Calculations </w:t>
      </w:r>
    </w:p>
    <w:p w14:paraId="57409E68" w14:textId="6BDDCB43" w:rsidR="00D93E61" w:rsidRPr="007808C2" w:rsidRDefault="00A71C4E" w:rsidP="00817DA5">
      <w:pPr>
        <w:pStyle w:val="Title"/>
        <w:ind w:right="1440"/>
      </w:pPr>
      <w:r>
        <w:t xml:space="preserve">- </w:t>
      </w:r>
      <w:r w:rsidR="00817DA5">
        <w:t>SOM</w:t>
      </w:r>
    </w:p>
    <w:p w14:paraId="6509DBEA" w14:textId="148CDAD1" w:rsidR="009E2076" w:rsidRPr="007808C2" w:rsidRDefault="00A71C4E" w:rsidP="009E2076">
      <w:pPr>
        <w:pStyle w:val="Heading1"/>
      </w:pPr>
      <w:r w:rsidRPr="00A11255">
        <w:t>Calculating Indirect Costs (IDC) from a Total Direct Cost (TDC) Base</w:t>
      </w:r>
    </w:p>
    <w:p w14:paraId="14715672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IDC Rate</w:t>
      </w:r>
      <w:r w:rsidRPr="00A71C4E">
        <w:rPr>
          <w:rFonts w:ascii="Segoe UI" w:hAnsi="Segoe UI" w:cs="Segoe UI"/>
          <w:sz w:val="22"/>
        </w:rPr>
        <w:t xml:space="preserve"> = 54%</w:t>
      </w:r>
    </w:p>
    <w:p w14:paraId="5B0E0AEF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TDC</w:t>
      </w:r>
      <w:r w:rsidRPr="00A71C4E">
        <w:rPr>
          <w:rFonts w:ascii="Segoe UI" w:hAnsi="Segoe UI" w:cs="Segoe UI"/>
          <w:sz w:val="22"/>
        </w:rPr>
        <w:t xml:space="preserve"> = $324,000</w:t>
      </w:r>
    </w:p>
    <w:p w14:paraId="44C66384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IDC</w:t>
      </w:r>
      <w:r w:rsidRPr="00A71C4E">
        <w:rPr>
          <w:rFonts w:ascii="Segoe UI" w:hAnsi="Segoe UI" w:cs="Segoe UI"/>
          <w:sz w:val="22"/>
        </w:rPr>
        <w:t xml:space="preserve"> = ($324,000 * 0.54) = $174,960</w:t>
      </w:r>
    </w:p>
    <w:p w14:paraId="09E49FFD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Total Costs</w:t>
      </w:r>
      <w:r w:rsidRPr="00A71C4E">
        <w:rPr>
          <w:rFonts w:ascii="Segoe UI" w:hAnsi="Segoe UI" w:cs="Segoe UI"/>
          <w:sz w:val="22"/>
        </w:rPr>
        <w:t xml:space="preserve"> = ($324,000 + $174,960) = $498,960</w:t>
      </w:r>
    </w:p>
    <w:p w14:paraId="72F77158" w14:textId="38EB3304" w:rsidR="00F943B9" w:rsidRPr="007808C2" w:rsidRDefault="00A71C4E" w:rsidP="00F943B9">
      <w:pPr>
        <w:pStyle w:val="Heading1"/>
      </w:pPr>
      <w:r w:rsidRPr="00A11255">
        <w:t>Calculating Indirect Costs (IDC) from a Modified Total Direct Cost (MTDC) Base</w:t>
      </w:r>
    </w:p>
    <w:p w14:paraId="547523E4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IDC Rate</w:t>
      </w:r>
      <w:r w:rsidRPr="00A71C4E">
        <w:rPr>
          <w:rFonts w:ascii="Segoe UI" w:hAnsi="Segoe UI" w:cs="Segoe UI"/>
          <w:sz w:val="22"/>
        </w:rPr>
        <w:t xml:space="preserve"> = 54%</w:t>
      </w:r>
    </w:p>
    <w:p w14:paraId="2CEED12C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TDC</w:t>
      </w:r>
      <w:r w:rsidRPr="00A71C4E">
        <w:rPr>
          <w:rFonts w:ascii="Segoe UI" w:hAnsi="Segoe UI" w:cs="Segoe UI"/>
          <w:sz w:val="22"/>
        </w:rPr>
        <w:t xml:space="preserve"> = $324,000</w:t>
      </w:r>
    </w:p>
    <w:p w14:paraId="60DB5BAD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Exclusions from F&amp;A Base</w:t>
      </w:r>
      <w:r w:rsidRPr="00A71C4E">
        <w:rPr>
          <w:rFonts w:ascii="Segoe UI" w:hAnsi="Segoe UI" w:cs="Segoe UI"/>
          <w:sz w:val="22"/>
        </w:rPr>
        <w:t xml:space="preserve"> = $27,000 (capital equipment); $8347 (tuition); $55,000 (subcontract)</w:t>
      </w:r>
    </w:p>
    <w:p w14:paraId="5A58DBC1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MTDC</w:t>
      </w:r>
      <w:r w:rsidRPr="00A71C4E">
        <w:rPr>
          <w:rFonts w:ascii="Segoe UI" w:hAnsi="Segoe UI" w:cs="Segoe UI"/>
          <w:sz w:val="22"/>
        </w:rPr>
        <w:t xml:space="preserve"> = ($324,000 - $27,000 - $8347 - $30,000‡) = $258,653</w:t>
      </w:r>
    </w:p>
    <w:p w14:paraId="1DF36823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IDC</w:t>
      </w:r>
      <w:r w:rsidRPr="00A71C4E">
        <w:rPr>
          <w:rFonts w:ascii="Segoe UI" w:hAnsi="Segoe UI" w:cs="Segoe UI"/>
          <w:sz w:val="22"/>
        </w:rPr>
        <w:t xml:space="preserve"> = ($258,653 * 0.54) = $139,673</w:t>
      </w:r>
    </w:p>
    <w:p w14:paraId="1DEEC535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Total Costs</w:t>
      </w:r>
      <w:r w:rsidRPr="00A71C4E">
        <w:rPr>
          <w:rFonts w:ascii="Segoe UI" w:hAnsi="Segoe UI" w:cs="Segoe UI"/>
          <w:sz w:val="22"/>
        </w:rPr>
        <w:t xml:space="preserve"> = ($324,000 + $139,673) = $463,673</w:t>
      </w:r>
    </w:p>
    <w:p w14:paraId="6C104876" w14:textId="77777777" w:rsidR="00A71C4E" w:rsidRPr="00A71C4E" w:rsidRDefault="00A71C4E" w:rsidP="004575A6">
      <w:pPr>
        <w:ind w:left="1440"/>
        <w:rPr>
          <w:rFonts w:ascii="Segoe UI" w:hAnsi="Segoe UI" w:cs="Segoe UI"/>
          <w:i/>
          <w:iCs/>
          <w:sz w:val="22"/>
        </w:rPr>
      </w:pPr>
      <w:r w:rsidRPr="00A71C4E">
        <w:rPr>
          <w:rFonts w:ascii="Segoe UI" w:hAnsi="Segoe UI" w:cs="Segoe UI"/>
          <w:i/>
          <w:iCs/>
          <w:sz w:val="22"/>
        </w:rPr>
        <w:t>‡ Subcontract costs greater than $25,000 are excluded from MTDC – see below</w:t>
      </w:r>
    </w:p>
    <w:p w14:paraId="6B770BE0" w14:textId="75D72599" w:rsidR="00B7421E" w:rsidRPr="007808C2" w:rsidRDefault="00A71C4E" w:rsidP="007808C2">
      <w:pPr>
        <w:pStyle w:val="Heading1"/>
      </w:pPr>
      <w:r>
        <w:t>Calculating</w:t>
      </w:r>
      <w:r w:rsidRPr="00A11255">
        <w:t xml:space="preserve"> Total Direct Costs (TDC) from Total Costs with </w:t>
      </w:r>
      <w:r>
        <w:t xml:space="preserve">a </w:t>
      </w:r>
      <w:r w:rsidRPr="00A11255">
        <w:t>Known Indirect Cost (IDC) Rate</w:t>
      </w:r>
    </w:p>
    <w:p w14:paraId="60CF6958" w14:textId="77777777" w:rsidR="00A71C4E" w:rsidRPr="00A71C4E" w:rsidRDefault="00A71C4E" w:rsidP="004575A6">
      <w:pPr>
        <w:jc w:val="center"/>
        <w:rPr>
          <w:rFonts w:ascii="Segoe UI" w:hAnsi="Segoe UI" w:cs="Segoe UI"/>
          <w:sz w:val="22"/>
        </w:rPr>
      </w:pPr>
      <w:r w:rsidRPr="00A71C4E">
        <w:rPr>
          <w:rFonts w:ascii="Segoe UI" w:hAnsi="Segoe UI" w:cs="Segoe UI"/>
          <w:sz w:val="22"/>
        </w:rPr>
        <w:t>[</w:t>
      </w:r>
      <w:proofErr w:type="gramStart"/>
      <w:r w:rsidRPr="00A71C4E">
        <w:rPr>
          <w:rFonts w:ascii="Segoe UI" w:hAnsi="Segoe UI" w:cs="Segoe UI"/>
          <w:sz w:val="22"/>
        </w:rPr>
        <w:t>e.g.</w:t>
      </w:r>
      <w:proofErr w:type="gramEnd"/>
      <w:r w:rsidRPr="00A71C4E">
        <w:rPr>
          <w:rFonts w:ascii="Segoe UI" w:hAnsi="Segoe UI" w:cs="Segoe UI"/>
          <w:sz w:val="22"/>
        </w:rPr>
        <w:t xml:space="preserve"> Solicitation states “Budget is capped at $500,000/total costs.  </w:t>
      </w:r>
      <w:proofErr w:type="spellStart"/>
      <w:r w:rsidRPr="00A71C4E">
        <w:rPr>
          <w:rFonts w:ascii="Segoe UI" w:hAnsi="Segoe UI" w:cs="Segoe UI"/>
          <w:sz w:val="22"/>
        </w:rPr>
        <w:t>Indirects</w:t>
      </w:r>
      <w:proofErr w:type="spellEnd"/>
      <w:r w:rsidRPr="00A71C4E">
        <w:rPr>
          <w:rFonts w:ascii="Segoe UI" w:hAnsi="Segoe UI" w:cs="Segoe UI"/>
          <w:sz w:val="22"/>
        </w:rPr>
        <w:t xml:space="preserve"> are paid at the institution’s negotiated Federal rate.”]</w:t>
      </w:r>
    </w:p>
    <w:p w14:paraId="100948F6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IDC Rate</w:t>
      </w:r>
      <w:r w:rsidRPr="00A71C4E">
        <w:rPr>
          <w:rFonts w:ascii="Segoe UI" w:hAnsi="Segoe UI" w:cs="Segoe UI"/>
          <w:sz w:val="22"/>
        </w:rPr>
        <w:t xml:space="preserve"> = 54%</w:t>
      </w:r>
    </w:p>
    <w:p w14:paraId="4F40BFBC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Total Costs</w:t>
      </w:r>
      <w:r w:rsidRPr="00A71C4E">
        <w:rPr>
          <w:rFonts w:ascii="Segoe UI" w:hAnsi="Segoe UI" w:cs="Segoe UI"/>
          <w:sz w:val="22"/>
        </w:rPr>
        <w:t xml:space="preserve"> = $500,000</w:t>
      </w:r>
    </w:p>
    <w:p w14:paraId="02087C3F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TDC</w:t>
      </w:r>
      <w:r w:rsidRPr="00A71C4E">
        <w:rPr>
          <w:rFonts w:ascii="Segoe UI" w:hAnsi="Segoe UI" w:cs="Segoe UI"/>
          <w:sz w:val="22"/>
        </w:rPr>
        <w:t xml:space="preserve"> = ($500,000 / 1.54) = $324,675</w:t>
      </w:r>
    </w:p>
    <w:p w14:paraId="1A933469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IDC</w:t>
      </w:r>
      <w:r w:rsidRPr="00A71C4E">
        <w:rPr>
          <w:rFonts w:ascii="Segoe UI" w:hAnsi="Segoe UI" w:cs="Segoe UI"/>
          <w:sz w:val="22"/>
        </w:rPr>
        <w:t xml:space="preserve"> = ($324,675 * 0.54) = $175,325</w:t>
      </w:r>
    </w:p>
    <w:p w14:paraId="1C4E6A7A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Total Costs Check</w:t>
      </w:r>
      <w:r w:rsidRPr="00A71C4E">
        <w:rPr>
          <w:rFonts w:ascii="Segoe UI" w:hAnsi="Segoe UI" w:cs="Segoe UI"/>
          <w:sz w:val="22"/>
        </w:rPr>
        <w:t xml:space="preserve"> = ($324,675 + 175,325) = $500,000</w:t>
      </w:r>
    </w:p>
    <w:p w14:paraId="1B7E3E77" w14:textId="7FAE4BDE" w:rsidR="00776785" w:rsidRPr="007808C2" w:rsidRDefault="00A71C4E" w:rsidP="00776785">
      <w:pPr>
        <w:pStyle w:val="Heading1"/>
      </w:pPr>
      <w:r w:rsidRPr="00A11255">
        <w:t xml:space="preserve">Calculating </w:t>
      </w:r>
      <w:r>
        <w:t>Total Direct Costs (T</w:t>
      </w:r>
      <w:r w:rsidRPr="00A11255">
        <w:t>DC) when Indirect Costs (IDC) are Presented as a Percentage of Total Costs</w:t>
      </w:r>
    </w:p>
    <w:p w14:paraId="169C3617" w14:textId="77777777" w:rsidR="00A71C4E" w:rsidRPr="00A71C4E" w:rsidRDefault="00A71C4E" w:rsidP="004575A6">
      <w:pPr>
        <w:jc w:val="center"/>
        <w:rPr>
          <w:rFonts w:ascii="Segoe UI" w:hAnsi="Segoe UI" w:cs="Segoe UI"/>
          <w:sz w:val="22"/>
        </w:rPr>
      </w:pPr>
      <w:r w:rsidRPr="00A71C4E">
        <w:rPr>
          <w:rFonts w:ascii="Segoe UI" w:hAnsi="Segoe UI" w:cs="Segoe UI"/>
          <w:sz w:val="22"/>
        </w:rPr>
        <w:t>[</w:t>
      </w:r>
      <w:proofErr w:type="gramStart"/>
      <w:r w:rsidRPr="00A71C4E">
        <w:rPr>
          <w:rFonts w:ascii="Segoe UI" w:hAnsi="Segoe UI" w:cs="Segoe UI"/>
          <w:sz w:val="22"/>
        </w:rPr>
        <w:t>e.g.</w:t>
      </w:r>
      <w:proofErr w:type="gramEnd"/>
      <w:r w:rsidRPr="00A71C4E">
        <w:rPr>
          <w:rFonts w:ascii="Segoe UI" w:hAnsi="Segoe UI" w:cs="Segoe UI"/>
          <w:sz w:val="22"/>
        </w:rPr>
        <w:t xml:space="preserve"> Solicitation states “Indirect Costs are limited to 12% of the total award amount of $75,000”]</w:t>
      </w:r>
    </w:p>
    <w:p w14:paraId="01D3C555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IDC Rate</w:t>
      </w:r>
      <w:r w:rsidRPr="00A71C4E">
        <w:rPr>
          <w:rFonts w:ascii="Segoe UI" w:hAnsi="Segoe UI" w:cs="Segoe UI"/>
          <w:sz w:val="22"/>
        </w:rPr>
        <w:t xml:space="preserve"> = 12%</w:t>
      </w:r>
    </w:p>
    <w:p w14:paraId="34461177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Total Costs</w:t>
      </w:r>
      <w:r w:rsidRPr="00A71C4E">
        <w:rPr>
          <w:rFonts w:ascii="Segoe UI" w:hAnsi="Segoe UI" w:cs="Segoe UI"/>
          <w:sz w:val="22"/>
        </w:rPr>
        <w:t xml:space="preserve"> = $75,000</w:t>
      </w:r>
    </w:p>
    <w:p w14:paraId="7F18D5ED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IDC</w:t>
      </w:r>
      <w:r w:rsidRPr="00A71C4E">
        <w:rPr>
          <w:rFonts w:ascii="Segoe UI" w:hAnsi="Segoe UI" w:cs="Segoe UI"/>
          <w:sz w:val="22"/>
        </w:rPr>
        <w:t xml:space="preserve"> = ($75,000 * 0.12) = $9000</w:t>
      </w:r>
    </w:p>
    <w:p w14:paraId="76D3D1D1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TDC</w:t>
      </w:r>
      <w:r w:rsidRPr="00A71C4E">
        <w:rPr>
          <w:rFonts w:ascii="Segoe UI" w:hAnsi="Segoe UI" w:cs="Segoe UI"/>
          <w:sz w:val="22"/>
        </w:rPr>
        <w:t xml:space="preserve"> = ($75,000 - $9000) = $64,000</w:t>
      </w:r>
    </w:p>
    <w:p w14:paraId="37252E58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Total Costs Check</w:t>
      </w:r>
      <w:r w:rsidRPr="00A71C4E">
        <w:rPr>
          <w:rFonts w:ascii="Segoe UI" w:hAnsi="Segoe UI" w:cs="Segoe UI"/>
          <w:sz w:val="22"/>
        </w:rPr>
        <w:t xml:space="preserve"> = ($64,000 + $9000) = $75,000</w:t>
      </w:r>
    </w:p>
    <w:p w14:paraId="4DEA6B5D" w14:textId="749859AB" w:rsidR="00776785" w:rsidRPr="00776785" w:rsidRDefault="00776785" w:rsidP="00A71C4E">
      <w:pPr>
        <w:pStyle w:val="checklistindent"/>
        <w:rPr>
          <w:rFonts w:ascii="Segoe UI" w:hAnsi="Segoe UI" w:cs="Segoe UI"/>
          <w:sz w:val="22"/>
          <w:szCs w:val="22"/>
        </w:rPr>
      </w:pPr>
    </w:p>
    <w:p w14:paraId="304667BD" w14:textId="4B7185D9" w:rsidR="00A058C7" w:rsidRPr="007808C2" w:rsidRDefault="00A71C4E" w:rsidP="00A058C7">
      <w:pPr>
        <w:pStyle w:val="Heading1"/>
      </w:pPr>
      <w:r w:rsidRPr="00E61728">
        <w:lastRenderedPageBreak/>
        <w:t>Calculating Indirect Cost Rate when Indirect Costs (IDC) are Presented as a Specific Amount of Total Costs</w:t>
      </w:r>
    </w:p>
    <w:p w14:paraId="691F4576" w14:textId="77777777" w:rsidR="00A71C4E" w:rsidRPr="00A71C4E" w:rsidRDefault="00A71C4E" w:rsidP="004575A6">
      <w:pPr>
        <w:jc w:val="center"/>
        <w:rPr>
          <w:rFonts w:ascii="Segoe UI" w:hAnsi="Segoe UI" w:cs="Segoe UI"/>
          <w:sz w:val="22"/>
          <w:szCs w:val="22"/>
        </w:rPr>
      </w:pPr>
      <w:r w:rsidRPr="00A71C4E">
        <w:rPr>
          <w:rFonts w:ascii="Segoe UI" w:hAnsi="Segoe UI" w:cs="Segoe UI"/>
          <w:sz w:val="22"/>
          <w:szCs w:val="22"/>
        </w:rPr>
        <w:t>[</w:t>
      </w:r>
      <w:proofErr w:type="gramStart"/>
      <w:r w:rsidRPr="00A71C4E">
        <w:rPr>
          <w:rFonts w:ascii="Segoe UI" w:hAnsi="Segoe UI" w:cs="Segoe UI"/>
          <w:sz w:val="22"/>
          <w:szCs w:val="22"/>
        </w:rPr>
        <w:t>e.g.</w:t>
      </w:r>
      <w:proofErr w:type="gramEnd"/>
      <w:r w:rsidRPr="00A71C4E">
        <w:rPr>
          <w:rFonts w:ascii="Segoe UI" w:hAnsi="Segoe UI" w:cs="Segoe UI"/>
          <w:sz w:val="22"/>
          <w:szCs w:val="22"/>
        </w:rPr>
        <w:t xml:space="preserve"> Solicitation states “Indirect Costs may not exceed $15,000.  Total Costs may not exceed $130,000.”]</w:t>
      </w:r>
    </w:p>
    <w:p w14:paraId="6FB8B414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IDC</w:t>
      </w:r>
      <w:r w:rsidRPr="00A71C4E">
        <w:rPr>
          <w:rFonts w:ascii="Segoe UI" w:hAnsi="Segoe UI" w:cs="Segoe UI"/>
          <w:sz w:val="22"/>
          <w:szCs w:val="22"/>
        </w:rPr>
        <w:t xml:space="preserve"> = $15,000</w:t>
      </w:r>
    </w:p>
    <w:p w14:paraId="1BE158E8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Total Costs</w:t>
      </w:r>
      <w:r w:rsidRPr="00A71C4E">
        <w:rPr>
          <w:rFonts w:ascii="Segoe UI" w:hAnsi="Segoe UI" w:cs="Segoe UI"/>
          <w:sz w:val="22"/>
          <w:szCs w:val="22"/>
        </w:rPr>
        <w:t xml:space="preserve"> = $130,000</w:t>
      </w:r>
    </w:p>
    <w:p w14:paraId="2F1C76A7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TDC</w:t>
      </w:r>
      <w:r w:rsidRPr="00A71C4E">
        <w:rPr>
          <w:rFonts w:ascii="Segoe UI" w:hAnsi="Segoe UI" w:cs="Segoe UI"/>
          <w:sz w:val="22"/>
          <w:szCs w:val="22"/>
        </w:rPr>
        <w:t xml:space="preserve"> = ($130,000 - $15,000) = $115,000</w:t>
      </w:r>
    </w:p>
    <w:p w14:paraId="7200AB3F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IDC Rate</w:t>
      </w:r>
      <w:r w:rsidRPr="00A71C4E">
        <w:rPr>
          <w:rFonts w:ascii="Segoe UI" w:hAnsi="Segoe UI" w:cs="Segoe UI"/>
          <w:sz w:val="22"/>
          <w:szCs w:val="22"/>
        </w:rPr>
        <w:t xml:space="preserve"> = ($15,000 / $115,000) = 13.043478%</w:t>
      </w:r>
    </w:p>
    <w:p w14:paraId="1EB69423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IDC Rate Check</w:t>
      </w:r>
      <w:r w:rsidRPr="00A71C4E">
        <w:rPr>
          <w:rFonts w:ascii="Segoe UI" w:hAnsi="Segoe UI" w:cs="Segoe UI"/>
          <w:sz w:val="22"/>
          <w:szCs w:val="22"/>
        </w:rPr>
        <w:t xml:space="preserve"> = ($115,000 * 1.13043478) = $130,000</w:t>
      </w:r>
    </w:p>
    <w:p w14:paraId="4C43DA11" w14:textId="5E04F1CF" w:rsidR="00A058C7" w:rsidRPr="007808C2" w:rsidRDefault="00A71C4E" w:rsidP="00A058C7">
      <w:pPr>
        <w:pStyle w:val="Heading1"/>
      </w:pPr>
      <w:r w:rsidRPr="00144CDC">
        <w:t>Calculating Direct Costs (DC) for NIH $500,000 Cap Limit with Subawards</w:t>
      </w:r>
    </w:p>
    <w:p w14:paraId="7A5C9DF0" w14:textId="77777777" w:rsidR="00A71C4E" w:rsidRPr="00A71C4E" w:rsidRDefault="00A71C4E" w:rsidP="004575A6">
      <w:pPr>
        <w:jc w:val="center"/>
        <w:rPr>
          <w:rFonts w:ascii="Segoe UI" w:hAnsi="Segoe UI" w:cs="Segoe UI"/>
          <w:sz w:val="22"/>
          <w:szCs w:val="22"/>
        </w:rPr>
      </w:pPr>
      <w:r w:rsidRPr="00A71C4E">
        <w:rPr>
          <w:rFonts w:ascii="Segoe UI" w:hAnsi="Segoe UI" w:cs="Segoe UI"/>
          <w:sz w:val="22"/>
          <w:szCs w:val="22"/>
        </w:rPr>
        <w:t>[</w:t>
      </w:r>
      <w:proofErr w:type="gramStart"/>
      <w:r w:rsidRPr="00A71C4E">
        <w:rPr>
          <w:rFonts w:ascii="Segoe UI" w:hAnsi="Segoe UI" w:cs="Segoe UI"/>
          <w:sz w:val="22"/>
          <w:szCs w:val="22"/>
        </w:rPr>
        <w:t>e.g.</w:t>
      </w:r>
      <w:proofErr w:type="gramEnd"/>
      <w:r w:rsidRPr="00A71C4E">
        <w:rPr>
          <w:rFonts w:ascii="Segoe UI" w:hAnsi="Segoe UI" w:cs="Segoe UI"/>
          <w:sz w:val="22"/>
          <w:szCs w:val="22"/>
        </w:rPr>
        <w:t xml:space="preserve"> Solicitation states “Budgets are capped at $500,000/direct, excluding subcontractor </w:t>
      </w:r>
      <w:proofErr w:type="spellStart"/>
      <w:r w:rsidRPr="00A71C4E">
        <w:rPr>
          <w:rFonts w:ascii="Segoe UI" w:hAnsi="Segoe UI" w:cs="Segoe UI"/>
          <w:sz w:val="22"/>
          <w:szCs w:val="22"/>
        </w:rPr>
        <w:t>indirects</w:t>
      </w:r>
      <w:proofErr w:type="spellEnd"/>
      <w:r w:rsidRPr="00A71C4E">
        <w:rPr>
          <w:rFonts w:ascii="Segoe UI" w:hAnsi="Segoe UI" w:cs="Segoe UI"/>
          <w:sz w:val="22"/>
          <w:szCs w:val="22"/>
        </w:rPr>
        <w:t>”]</w:t>
      </w:r>
    </w:p>
    <w:p w14:paraId="4E23FAC5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Sub Site DC</w:t>
      </w:r>
      <w:r w:rsidRPr="00A71C4E">
        <w:rPr>
          <w:rFonts w:ascii="Segoe UI" w:hAnsi="Segoe UI" w:cs="Segoe UI"/>
          <w:sz w:val="22"/>
          <w:szCs w:val="22"/>
        </w:rPr>
        <w:t xml:space="preserve"> = $125,000</w:t>
      </w:r>
    </w:p>
    <w:p w14:paraId="555837B3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Sub Site IDC</w:t>
      </w:r>
      <w:r w:rsidRPr="00A71C4E">
        <w:rPr>
          <w:rFonts w:ascii="Segoe UI" w:hAnsi="Segoe UI" w:cs="Segoe UI"/>
          <w:sz w:val="22"/>
          <w:szCs w:val="22"/>
        </w:rPr>
        <w:t xml:space="preserve"> = $70,000</w:t>
      </w:r>
    </w:p>
    <w:p w14:paraId="345DA997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Prime Site DC</w:t>
      </w:r>
      <w:r w:rsidRPr="00A71C4E">
        <w:rPr>
          <w:rFonts w:ascii="Segoe UI" w:hAnsi="Segoe UI" w:cs="Segoe UI"/>
          <w:sz w:val="22"/>
          <w:szCs w:val="22"/>
        </w:rPr>
        <w:t xml:space="preserve"> = $330,500</w:t>
      </w:r>
    </w:p>
    <w:p w14:paraId="083FDE59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Prime Site TDC</w:t>
      </w:r>
      <w:r w:rsidRPr="00A71C4E">
        <w:rPr>
          <w:rFonts w:ascii="Segoe UI" w:hAnsi="Segoe UI" w:cs="Segoe UI"/>
          <w:sz w:val="22"/>
          <w:szCs w:val="22"/>
        </w:rPr>
        <w:t xml:space="preserve"> = ($330,500 + $125,000 + $70,000) = $525,500</w:t>
      </w:r>
    </w:p>
    <w:p w14:paraId="1541C3AB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Prime Site DC for $500k Cap</w:t>
      </w:r>
      <w:r w:rsidRPr="00A71C4E">
        <w:rPr>
          <w:rFonts w:ascii="Segoe UI" w:hAnsi="Segoe UI" w:cs="Segoe UI"/>
          <w:sz w:val="22"/>
          <w:szCs w:val="22"/>
        </w:rPr>
        <w:t xml:space="preserve"> = ($330,500 + $125,000) = $455,500</w:t>
      </w:r>
    </w:p>
    <w:p w14:paraId="3CAC292E" w14:textId="46FF8BFE" w:rsidR="00293BE2" w:rsidRPr="007808C2" w:rsidRDefault="00A71C4E" w:rsidP="00293BE2">
      <w:pPr>
        <w:pStyle w:val="Heading1"/>
      </w:pPr>
      <w:r>
        <w:t>Calculating Indirect Costs (IDC) for Total Direct Costs (TDC) on Modular Budgets</w:t>
      </w:r>
    </w:p>
    <w:p w14:paraId="6BF955F3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IDC Rate</w:t>
      </w:r>
      <w:r w:rsidRPr="00A71C4E">
        <w:rPr>
          <w:rFonts w:ascii="Segoe UI" w:hAnsi="Segoe UI" w:cs="Segoe UI"/>
          <w:sz w:val="22"/>
          <w:szCs w:val="22"/>
        </w:rPr>
        <w:t xml:space="preserve"> = 54%</w:t>
      </w:r>
    </w:p>
    <w:p w14:paraId="57634E8D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Actual DC</w:t>
      </w:r>
      <w:r w:rsidRPr="00A71C4E">
        <w:rPr>
          <w:rFonts w:ascii="Segoe UI" w:hAnsi="Segoe UI" w:cs="Segoe UI"/>
          <w:sz w:val="22"/>
          <w:szCs w:val="22"/>
        </w:rPr>
        <w:t xml:space="preserve"> = $118,645</w:t>
      </w:r>
    </w:p>
    <w:p w14:paraId="17C95A0E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Modular DC Requested</w:t>
      </w:r>
      <w:r w:rsidRPr="00A71C4E">
        <w:rPr>
          <w:rFonts w:ascii="Segoe UI" w:hAnsi="Segoe UI" w:cs="Segoe UI"/>
          <w:sz w:val="22"/>
          <w:szCs w:val="22"/>
        </w:rPr>
        <w:t xml:space="preserve"> = $125,000</w:t>
      </w:r>
    </w:p>
    <w:p w14:paraId="229094F8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IDC</w:t>
      </w:r>
      <w:r w:rsidRPr="00A71C4E">
        <w:rPr>
          <w:rFonts w:ascii="Segoe UI" w:hAnsi="Segoe UI" w:cs="Segoe UI"/>
          <w:sz w:val="22"/>
          <w:szCs w:val="22"/>
        </w:rPr>
        <w:t xml:space="preserve"> = ($125,000 * 0.54) = $67,500</w:t>
      </w:r>
    </w:p>
    <w:p w14:paraId="1FAFA551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Total Costs</w:t>
      </w:r>
      <w:r w:rsidRPr="00A71C4E">
        <w:rPr>
          <w:rFonts w:ascii="Segoe UI" w:hAnsi="Segoe UI" w:cs="Segoe UI"/>
          <w:sz w:val="22"/>
          <w:szCs w:val="22"/>
        </w:rPr>
        <w:t xml:space="preserve"> = ($125,000 + $67,500) = $192,500</w:t>
      </w:r>
    </w:p>
    <w:p w14:paraId="311480D4" w14:textId="08A55F62" w:rsidR="00A058C7" w:rsidRPr="007808C2" w:rsidRDefault="00A71C4E" w:rsidP="00A058C7">
      <w:pPr>
        <w:pStyle w:val="Heading1"/>
      </w:pPr>
      <w:r>
        <w:t>Calculating Indirect Costs (IDC) for Modified Total Direct Costs (MTDC) on Modular Budgets</w:t>
      </w:r>
    </w:p>
    <w:p w14:paraId="38E89B14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IDC Rate</w:t>
      </w:r>
      <w:r w:rsidRPr="00A71C4E">
        <w:rPr>
          <w:rFonts w:ascii="Segoe UI" w:hAnsi="Segoe UI" w:cs="Segoe UI"/>
          <w:sz w:val="22"/>
          <w:szCs w:val="22"/>
        </w:rPr>
        <w:t xml:space="preserve"> = 54%</w:t>
      </w:r>
    </w:p>
    <w:p w14:paraId="4E921526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Actual DC</w:t>
      </w:r>
      <w:r w:rsidRPr="00A71C4E">
        <w:rPr>
          <w:rFonts w:ascii="Segoe UI" w:hAnsi="Segoe UI" w:cs="Segoe UI"/>
          <w:sz w:val="22"/>
          <w:szCs w:val="22"/>
        </w:rPr>
        <w:t xml:space="preserve"> = $118,645</w:t>
      </w:r>
    </w:p>
    <w:p w14:paraId="55422633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Modular DC Requested</w:t>
      </w:r>
      <w:r w:rsidRPr="00A71C4E">
        <w:rPr>
          <w:rFonts w:ascii="Segoe UI" w:hAnsi="Segoe UI" w:cs="Segoe UI"/>
          <w:sz w:val="22"/>
          <w:szCs w:val="22"/>
        </w:rPr>
        <w:t xml:space="preserve"> = $125,000</w:t>
      </w:r>
    </w:p>
    <w:p w14:paraId="65C052BC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Exclusions</w:t>
      </w:r>
      <w:r w:rsidRPr="00A71C4E">
        <w:rPr>
          <w:rFonts w:ascii="Segoe UI" w:hAnsi="Segoe UI" w:cs="Segoe UI"/>
          <w:sz w:val="22"/>
          <w:szCs w:val="22"/>
        </w:rPr>
        <w:t xml:space="preserve"> = $12,150 (patient care); $12,000 (equipment)</w:t>
      </w:r>
    </w:p>
    <w:p w14:paraId="1E32D8D4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MTDC</w:t>
      </w:r>
      <w:r w:rsidRPr="00A71C4E">
        <w:rPr>
          <w:rFonts w:ascii="Segoe UI" w:hAnsi="Segoe UI" w:cs="Segoe UI"/>
          <w:sz w:val="22"/>
          <w:szCs w:val="22"/>
        </w:rPr>
        <w:t xml:space="preserve"> = ($125,000 - $12,150 - $12,000) = $100,850</w:t>
      </w:r>
    </w:p>
    <w:p w14:paraId="1FB51163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IDC</w:t>
      </w:r>
      <w:r w:rsidRPr="00A71C4E">
        <w:rPr>
          <w:rFonts w:ascii="Segoe UI" w:hAnsi="Segoe UI" w:cs="Segoe UI"/>
          <w:sz w:val="22"/>
          <w:szCs w:val="22"/>
        </w:rPr>
        <w:t xml:space="preserve"> = ($100,850 * 0.54) = $54,459</w:t>
      </w:r>
    </w:p>
    <w:p w14:paraId="0068CAAD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  <w:szCs w:val="22"/>
        </w:rPr>
      </w:pPr>
      <w:r w:rsidRPr="004575A6">
        <w:rPr>
          <w:rFonts w:ascii="Segoe UI" w:hAnsi="Segoe UI" w:cs="Segoe UI"/>
          <w:b/>
          <w:bCs/>
          <w:sz w:val="22"/>
          <w:szCs w:val="22"/>
        </w:rPr>
        <w:t>Total Costs</w:t>
      </w:r>
      <w:r w:rsidRPr="00A71C4E">
        <w:rPr>
          <w:rFonts w:ascii="Segoe UI" w:hAnsi="Segoe UI" w:cs="Segoe UI"/>
          <w:sz w:val="22"/>
          <w:szCs w:val="22"/>
        </w:rPr>
        <w:t xml:space="preserve"> = ($125,000 + 54,459) = $179,459</w:t>
      </w:r>
    </w:p>
    <w:p w14:paraId="12C48B6C" w14:textId="413601A8" w:rsidR="00D40838" w:rsidRPr="007808C2" w:rsidRDefault="00A71C4E" w:rsidP="00D40838">
      <w:pPr>
        <w:pStyle w:val="Heading1"/>
      </w:pPr>
      <w:r>
        <w:t>Calculating Indirect Costs (IDC) for Modified Total Direct Costs (MTDC) on Modular Budgets with Subawards</w:t>
      </w:r>
    </w:p>
    <w:p w14:paraId="167A65AA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IDC Rate</w:t>
      </w:r>
      <w:r w:rsidRPr="00A71C4E">
        <w:rPr>
          <w:rFonts w:ascii="Segoe UI" w:hAnsi="Segoe UI" w:cs="Segoe UI"/>
          <w:sz w:val="22"/>
        </w:rPr>
        <w:t xml:space="preserve"> = 54%</w:t>
      </w:r>
    </w:p>
    <w:p w14:paraId="709AE6B3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Sub Site DC</w:t>
      </w:r>
      <w:r w:rsidRPr="00A71C4E">
        <w:rPr>
          <w:rFonts w:ascii="Segoe UI" w:hAnsi="Segoe UI" w:cs="Segoe UI"/>
          <w:sz w:val="22"/>
        </w:rPr>
        <w:t xml:space="preserve"> = $20,000</w:t>
      </w:r>
    </w:p>
    <w:p w14:paraId="019146DC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Sub Site IDC</w:t>
      </w:r>
      <w:r w:rsidRPr="00A71C4E">
        <w:rPr>
          <w:rFonts w:ascii="Segoe UI" w:hAnsi="Segoe UI" w:cs="Segoe UI"/>
          <w:sz w:val="22"/>
        </w:rPr>
        <w:t xml:space="preserve"> = $14,500</w:t>
      </w:r>
    </w:p>
    <w:p w14:paraId="3D5813B4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Prime Site DC</w:t>
      </w:r>
      <w:r w:rsidRPr="00A71C4E">
        <w:rPr>
          <w:rFonts w:ascii="Segoe UI" w:hAnsi="Segoe UI" w:cs="Segoe UI"/>
          <w:sz w:val="22"/>
        </w:rPr>
        <w:t xml:space="preserve"> = $85,000</w:t>
      </w:r>
    </w:p>
    <w:p w14:paraId="76F8B98E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lastRenderedPageBreak/>
        <w:t>Prime Site TDC</w:t>
      </w:r>
      <w:r w:rsidRPr="00A71C4E">
        <w:rPr>
          <w:rFonts w:ascii="Segoe UI" w:hAnsi="Segoe UI" w:cs="Segoe UI"/>
          <w:sz w:val="22"/>
        </w:rPr>
        <w:t xml:space="preserve"> = ($85,000 + $20,000 + $14,500) = $119,500</w:t>
      </w:r>
    </w:p>
    <w:p w14:paraId="3EF367BC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Modular DC Requested</w:t>
      </w:r>
      <w:r w:rsidRPr="00A71C4E">
        <w:rPr>
          <w:rFonts w:ascii="Segoe UI" w:hAnsi="Segoe UI" w:cs="Segoe UI"/>
          <w:sz w:val="22"/>
        </w:rPr>
        <w:t xml:space="preserve"> = $125,000</w:t>
      </w:r>
    </w:p>
    <w:p w14:paraId="1ADF678C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MTDC</w:t>
      </w:r>
      <w:r w:rsidRPr="00A71C4E">
        <w:rPr>
          <w:rFonts w:ascii="Segoe UI" w:hAnsi="Segoe UI" w:cs="Segoe UI"/>
          <w:sz w:val="22"/>
        </w:rPr>
        <w:t xml:space="preserve"> = ($125,000 - $9500‡) = $115,500</w:t>
      </w:r>
    </w:p>
    <w:p w14:paraId="07942DF2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IDC</w:t>
      </w:r>
      <w:r w:rsidRPr="00A71C4E">
        <w:rPr>
          <w:rFonts w:ascii="Segoe UI" w:hAnsi="Segoe UI" w:cs="Segoe UI"/>
          <w:sz w:val="22"/>
        </w:rPr>
        <w:t xml:space="preserve"> = ($115,500 * 0.54) = $62,370</w:t>
      </w:r>
    </w:p>
    <w:p w14:paraId="5AB34659" w14:textId="77777777" w:rsidR="00A71C4E" w:rsidRPr="00A71C4E" w:rsidRDefault="00A71C4E" w:rsidP="004575A6">
      <w:pPr>
        <w:ind w:left="1440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Total Costs</w:t>
      </w:r>
      <w:r w:rsidRPr="00A71C4E">
        <w:rPr>
          <w:rFonts w:ascii="Segoe UI" w:hAnsi="Segoe UI" w:cs="Segoe UI"/>
          <w:sz w:val="22"/>
        </w:rPr>
        <w:t xml:space="preserve"> = ($125,000 + $62,370) = $187,370</w:t>
      </w:r>
    </w:p>
    <w:p w14:paraId="2A9EAF55" w14:textId="77777777" w:rsidR="00A71C4E" w:rsidRPr="00A71C4E" w:rsidRDefault="00A71C4E" w:rsidP="004575A6">
      <w:pPr>
        <w:ind w:left="1440"/>
        <w:rPr>
          <w:rFonts w:ascii="Segoe UI" w:hAnsi="Segoe UI" w:cs="Segoe UI"/>
          <w:i/>
          <w:iCs/>
          <w:sz w:val="22"/>
        </w:rPr>
      </w:pPr>
      <w:r w:rsidRPr="00A71C4E">
        <w:rPr>
          <w:rFonts w:ascii="Segoe UI" w:hAnsi="Segoe UI" w:cs="Segoe UI"/>
          <w:i/>
          <w:iCs/>
          <w:sz w:val="22"/>
        </w:rPr>
        <w:t>‡ Subcontract costs greater than $25,000 are excluded from MTDC – see below</w:t>
      </w:r>
    </w:p>
    <w:p w14:paraId="41E0891A" w14:textId="3A52F979" w:rsidR="00723918" w:rsidRPr="007808C2" w:rsidRDefault="00A71C4E" w:rsidP="00723918">
      <w:pPr>
        <w:pStyle w:val="Heading1"/>
      </w:pPr>
      <w:bookmarkStart w:id="0" w:name="_Hlk202790378"/>
      <w:r w:rsidRPr="00A71C4E">
        <w:rPr>
          <w:rFonts w:ascii="Segoe UI" w:hAnsi="Segoe UI" w:cs="Segoe UI"/>
          <w:i/>
          <w:iCs/>
          <w:sz w:val="32"/>
          <w:szCs w:val="44"/>
        </w:rPr>
        <w:t>‡</w:t>
      </w:r>
      <w:r w:rsidR="004575A6">
        <w:rPr>
          <w:rFonts w:ascii="Segoe UI" w:hAnsi="Segoe UI" w:cs="Segoe UI"/>
          <w:i/>
          <w:iCs/>
          <w:sz w:val="32"/>
          <w:szCs w:val="44"/>
        </w:rPr>
        <w:t xml:space="preserve"> </w:t>
      </w:r>
      <w:r w:rsidRPr="00A71C4E">
        <w:t>Modified Total Direct Costs (MTDC) Exclusions</w:t>
      </w:r>
      <w:bookmarkEnd w:id="0"/>
      <w:r>
        <w:t xml:space="preserve"> (from Federal Indirect Cost (IDC) Rate Agreements)</w:t>
      </w:r>
    </w:p>
    <w:p w14:paraId="1B8F748C" w14:textId="1C39669C" w:rsidR="00A71C4E" w:rsidRPr="00A71C4E" w:rsidRDefault="00A71C4E" w:rsidP="004575A6">
      <w:pPr>
        <w:spacing w:before="0" w:after="160" w:line="259" w:lineRule="auto"/>
        <w:jc w:val="center"/>
        <w:rPr>
          <w:rFonts w:ascii="Segoe UI" w:hAnsi="Segoe UI" w:cs="Segoe UI"/>
          <w:sz w:val="22"/>
        </w:rPr>
      </w:pPr>
      <w:r w:rsidRPr="004575A6">
        <w:rPr>
          <w:rFonts w:ascii="Segoe UI" w:hAnsi="Segoe UI" w:cs="Segoe UI"/>
          <w:b/>
          <w:bCs/>
          <w:sz w:val="22"/>
        </w:rPr>
        <w:t>SOURCE:</w:t>
      </w:r>
      <w:r>
        <w:rPr>
          <w:rFonts w:ascii="Segoe UI" w:hAnsi="Segoe UI" w:cs="Segoe UI"/>
          <w:sz w:val="22"/>
        </w:rPr>
        <w:t xml:space="preserve"> </w:t>
      </w:r>
      <w:hyperlink r:id="rId12" w:history="1">
        <w:r w:rsidRPr="00205AD6">
          <w:rPr>
            <w:rStyle w:val="Hyperlink"/>
            <w:rFonts w:ascii="Segoe UI" w:hAnsi="Segoe UI" w:cs="Segoe UI"/>
            <w:sz w:val="22"/>
          </w:rPr>
          <w:t>https://www.ecfr.gov/current/title-2/subtitle-A/chapter-II/part-200/subpart-A/subject-group-ECFR2a6a0087862fd2c/section-200.1</w:t>
        </w:r>
      </w:hyperlink>
    </w:p>
    <w:p w14:paraId="6DE829DC" w14:textId="213223AD" w:rsidR="00A71C4E" w:rsidRPr="00A71C4E" w:rsidRDefault="00A71C4E" w:rsidP="004575A6">
      <w:pPr>
        <w:pStyle w:val="ListParagraph"/>
        <w:numPr>
          <w:ilvl w:val="0"/>
          <w:numId w:val="38"/>
        </w:numPr>
        <w:spacing w:before="0" w:after="160" w:line="259" w:lineRule="auto"/>
        <w:ind w:left="1800"/>
        <w:rPr>
          <w:rFonts w:ascii="Segoe UI" w:hAnsi="Segoe UI" w:cs="Segoe UI"/>
          <w:sz w:val="22"/>
        </w:rPr>
      </w:pPr>
      <w:r w:rsidRPr="00A71C4E">
        <w:rPr>
          <w:rFonts w:ascii="Segoe UI" w:hAnsi="Segoe UI" w:cs="Segoe UI"/>
          <w:sz w:val="22"/>
        </w:rPr>
        <w:t>capital equipment</w:t>
      </w:r>
    </w:p>
    <w:p w14:paraId="7E9ACA04" w14:textId="77777777" w:rsidR="00A71C4E" w:rsidRPr="00A71C4E" w:rsidRDefault="00A71C4E" w:rsidP="004575A6">
      <w:pPr>
        <w:pStyle w:val="ListParagraph"/>
        <w:numPr>
          <w:ilvl w:val="0"/>
          <w:numId w:val="38"/>
        </w:numPr>
        <w:spacing w:before="0" w:after="160" w:line="259" w:lineRule="auto"/>
        <w:ind w:left="1800"/>
        <w:rPr>
          <w:rFonts w:ascii="Segoe UI" w:hAnsi="Segoe UI" w:cs="Segoe UI"/>
          <w:sz w:val="22"/>
        </w:rPr>
      </w:pPr>
      <w:r w:rsidRPr="00A71C4E">
        <w:rPr>
          <w:rFonts w:ascii="Segoe UI" w:hAnsi="Segoe UI" w:cs="Segoe UI"/>
          <w:sz w:val="22"/>
        </w:rPr>
        <w:t>capital expenditures</w:t>
      </w:r>
    </w:p>
    <w:p w14:paraId="1344E747" w14:textId="77777777" w:rsidR="00A71C4E" w:rsidRPr="00A71C4E" w:rsidRDefault="00A71C4E" w:rsidP="004575A6">
      <w:pPr>
        <w:pStyle w:val="ListParagraph"/>
        <w:numPr>
          <w:ilvl w:val="0"/>
          <w:numId w:val="38"/>
        </w:numPr>
        <w:spacing w:before="0" w:after="160" w:line="259" w:lineRule="auto"/>
        <w:ind w:left="1800"/>
        <w:rPr>
          <w:rFonts w:ascii="Segoe UI" w:hAnsi="Segoe UI" w:cs="Segoe UI"/>
          <w:sz w:val="22"/>
        </w:rPr>
      </w:pPr>
      <w:r w:rsidRPr="00A71C4E">
        <w:rPr>
          <w:rFonts w:ascii="Segoe UI" w:hAnsi="Segoe UI" w:cs="Segoe UI"/>
          <w:sz w:val="22"/>
        </w:rPr>
        <w:t>rent</w:t>
      </w:r>
    </w:p>
    <w:p w14:paraId="556950F4" w14:textId="77777777" w:rsidR="00A71C4E" w:rsidRPr="00A71C4E" w:rsidRDefault="00A71C4E" w:rsidP="004575A6">
      <w:pPr>
        <w:pStyle w:val="ListParagraph"/>
        <w:numPr>
          <w:ilvl w:val="0"/>
          <w:numId w:val="38"/>
        </w:numPr>
        <w:spacing w:before="0" w:after="160" w:line="259" w:lineRule="auto"/>
        <w:ind w:left="1800"/>
        <w:rPr>
          <w:rFonts w:ascii="Segoe UI" w:hAnsi="Segoe UI" w:cs="Segoe UI"/>
          <w:sz w:val="22"/>
        </w:rPr>
      </w:pPr>
      <w:r w:rsidRPr="00A71C4E">
        <w:rPr>
          <w:rFonts w:ascii="Segoe UI" w:hAnsi="Segoe UI" w:cs="Segoe UI"/>
          <w:sz w:val="22"/>
        </w:rPr>
        <w:t>tuition remission</w:t>
      </w:r>
    </w:p>
    <w:p w14:paraId="44538964" w14:textId="77777777" w:rsidR="00A71C4E" w:rsidRPr="00A71C4E" w:rsidRDefault="00A71C4E" w:rsidP="004575A6">
      <w:pPr>
        <w:pStyle w:val="ListParagraph"/>
        <w:numPr>
          <w:ilvl w:val="0"/>
          <w:numId w:val="38"/>
        </w:numPr>
        <w:spacing w:before="0" w:after="160" w:line="259" w:lineRule="auto"/>
        <w:ind w:left="1800"/>
        <w:rPr>
          <w:rFonts w:ascii="Segoe UI" w:hAnsi="Segoe UI" w:cs="Segoe UI"/>
          <w:sz w:val="22"/>
        </w:rPr>
      </w:pPr>
      <w:r w:rsidRPr="00A71C4E">
        <w:rPr>
          <w:rFonts w:ascii="Segoe UI" w:hAnsi="Segoe UI" w:cs="Segoe UI"/>
          <w:sz w:val="22"/>
        </w:rPr>
        <w:t>participants support costs</w:t>
      </w:r>
    </w:p>
    <w:p w14:paraId="5ABEBEDD" w14:textId="708310D9" w:rsidR="001D2CF8" w:rsidRPr="001D2CF8" w:rsidRDefault="00A71C4E" w:rsidP="004575A6">
      <w:pPr>
        <w:pStyle w:val="ListParagraph"/>
        <w:numPr>
          <w:ilvl w:val="0"/>
          <w:numId w:val="38"/>
        </w:numPr>
        <w:spacing w:before="0" w:after="160" w:line="259" w:lineRule="auto"/>
        <w:ind w:left="1800"/>
      </w:pPr>
      <w:r w:rsidRPr="00A71C4E">
        <w:rPr>
          <w:rFonts w:ascii="Segoe UI" w:hAnsi="Segoe UI" w:cs="Segoe UI"/>
          <w:sz w:val="22"/>
        </w:rPr>
        <w:t>the portion of each subaward in excess of $25,000</w:t>
      </w:r>
    </w:p>
    <w:p w14:paraId="241A96B1" w14:textId="2B13C2B8" w:rsidR="001D2CF8" w:rsidRPr="001D2CF8" w:rsidRDefault="001D2CF8" w:rsidP="001D2CF8"/>
    <w:p w14:paraId="3021CC16" w14:textId="1B9F2729" w:rsidR="001D2CF8" w:rsidRPr="001D2CF8" w:rsidRDefault="001D2CF8" w:rsidP="001D2CF8"/>
    <w:p w14:paraId="43AE0817" w14:textId="06793D0A" w:rsidR="001D2CF8" w:rsidRPr="001D2CF8" w:rsidRDefault="001D2CF8" w:rsidP="001D2CF8"/>
    <w:p w14:paraId="74276493" w14:textId="264A413B" w:rsidR="001D2CF8" w:rsidRPr="001D2CF8" w:rsidRDefault="001D2CF8" w:rsidP="001D2CF8"/>
    <w:p w14:paraId="09B54895" w14:textId="0AAE2EEF" w:rsidR="001D2CF8" w:rsidRPr="001D2CF8" w:rsidRDefault="001D2CF8" w:rsidP="001D2CF8"/>
    <w:p w14:paraId="574B4025" w14:textId="7CE8A38E" w:rsidR="001D2CF8" w:rsidRPr="001D2CF8" w:rsidRDefault="001D2CF8" w:rsidP="001D2CF8"/>
    <w:p w14:paraId="03D76FCE" w14:textId="7AE8F6FE" w:rsidR="001D2CF8" w:rsidRPr="001D2CF8" w:rsidRDefault="001D2CF8" w:rsidP="001D2CF8"/>
    <w:p w14:paraId="56586136" w14:textId="17964709" w:rsidR="001D2CF8" w:rsidRPr="001D2CF8" w:rsidRDefault="001D2CF8" w:rsidP="001D2CF8"/>
    <w:p w14:paraId="7B2FE5C1" w14:textId="778E13DF" w:rsidR="001D2CF8" w:rsidRPr="001D2CF8" w:rsidRDefault="001D2CF8" w:rsidP="001D2CF8"/>
    <w:p w14:paraId="209D4E78" w14:textId="4DD82031" w:rsidR="001D2CF8" w:rsidRPr="001D2CF8" w:rsidRDefault="001D2CF8" w:rsidP="001D2CF8"/>
    <w:p w14:paraId="7757E664" w14:textId="022E8E6E" w:rsidR="001D2CF8" w:rsidRPr="001D2CF8" w:rsidRDefault="001D2CF8" w:rsidP="001D2CF8"/>
    <w:p w14:paraId="4F1ACE6D" w14:textId="526E1BD7" w:rsidR="001D2CF8" w:rsidRPr="001D2CF8" w:rsidRDefault="001D2CF8" w:rsidP="001D2CF8"/>
    <w:p w14:paraId="652EFBB1" w14:textId="567AA76A" w:rsidR="001D2CF8" w:rsidRPr="001D2CF8" w:rsidRDefault="001D2CF8" w:rsidP="001D2CF8"/>
    <w:p w14:paraId="3A757FD9" w14:textId="48B688B7" w:rsidR="001D2CF8" w:rsidRPr="001D2CF8" w:rsidRDefault="001D2CF8" w:rsidP="001D2CF8"/>
    <w:p w14:paraId="1DA7A901" w14:textId="440B3AA5" w:rsidR="001D2CF8" w:rsidRPr="001D2CF8" w:rsidRDefault="001D2CF8" w:rsidP="001D2CF8"/>
    <w:p w14:paraId="7DD59704" w14:textId="060F74CF" w:rsidR="001D2CF8" w:rsidRPr="001D2CF8" w:rsidRDefault="001D2CF8" w:rsidP="001D2CF8"/>
    <w:p w14:paraId="1A00E286" w14:textId="2EFEE06F" w:rsidR="001D2CF8" w:rsidRPr="001D2CF8" w:rsidRDefault="001D2CF8" w:rsidP="001D2CF8"/>
    <w:p w14:paraId="02F4CD2E" w14:textId="047022CC" w:rsidR="001D2CF8" w:rsidRPr="001D2CF8" w:rsidRDefault="001D2CF8" w:rsidP="001D2CF8"/>
    <w:p w14:paraId="5CF3B1B8" w14:textId="0BF5C6DD" w:rsidR="001D2CF8" w:rsidRPr="001D2CF8" w:rsidRDefault="001D2CF8" w:rsidP="001D2CF8"/>
    <w:p w14:paraId="6EDACD78" w14:textId="5B0975D8" w:rsidR="001D2CF8" w:rsidRPr="001D2CF8" w:rsidRDefault="001D2CF8" w:rsidP="001D2CF8"/>
    <w:p w14:paraId="14FAC60C" w14:textId="738C8762" w:rsidR="001D2CF8" w:rsidRPr="001D2CF8" w:rsidRDefault="001D2CF8" w:rsidP="001D2CF8"/>
    <w:p w14:paraId="7132B050" w14:textId="40A2D4B0" w:rsidR="001D2CF8" w:rsidRPr="001D2CF8" w:rsidRDefault="001D2CF8" w:rsidP="001D2CF8"/>
    <w:p w14:paraId="41C645DE" w14:textId="6E733EFF" w:rsidR="001D2CF8" w:rsidRPr="001D2CF8" w:rsidRDefault="001D2CF8" w:rsidP="001D2CF8"/>
    <w:p w14:paraId="5644A54F" w14:textId="2286BE76" w:rsidR="001D2CF8" w:rsidRPr="001D2CF8" w:rsidRDefault="001D2CF8" w:rsidP="001D2CF8"/>
    <w:p w14:paraId="26458AE3" w14:textId="54EDEE05" w:rsidR="001D2CF8" w:rsidRPr="001D2CF8" w:rsidRDefault="001D2CF8" w:rsidP="001D2CF8"/>
    <w:p w14:paraId="46D12190" w14:textId="600172CB" w:rsidR="001D2CF8" w:rsidRPr="001D2CF8" w:rsidRDefault="001D2CF8" w:rsidP="001D2CF8"/>
    <w:p w14:paraId="329DBBA6" w14:textId="6834AA57" w:rsidR="001D2CF8" w:rsidRPr="001D2CF8" w:rsidRDefault="001D2CF8" w:rsidP="001D2CF8"/>
    <w:p w14:paraId="4777C00B" w14:textId="580F4A2D" w:rsidR="001D2CF8" w:rsidRDefault="001D2CF8" w:rsidP="001D2CF8">
      <w:pPr>
        <w:rPr>
          <w:rFonts w:cstheme="minorHAnsi"/>
        </w:rPr>
      </w:pPr>
    </w:p>
    <w:p w14:paraId="5D9D7491" w14:textId="6F2A5841" w:rsidR="001D2CF8" w:rsidRDefault="001D2CF8" w:rsidP="001D2CF8">
      <w:pPr>
        <w:tabs>
          <w:tab w:val="left" w:pos="9730"/>
        </w:tabs>
      </w:pPr>
      <w:r>
        <w:tab/>
      </w:r>
    </w:p>
    <w:p w14:paraId="4688A688" w14:textId="77777777" w:rsidR="00A71C4E" w:rsidRPr="00A71C4E" w:rsidRDefault="00A71C4E" w:rsidP="00A71C4E">
      <w:pPr>
        <w:jc w:val="right"/>
      </w:pPr>
    </w:p>
    <w:sectPr w:rsidR="00A71C4E" w:rsidRPr="00A71C4E" w:rsidSect="0030401F">
      <w:footerReference w:type="default" r:id="rId13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DC38" w14:textId="77777777" w:rsidR="00315CBB" w:rsidRDefault="00315CBB" w:rsidP="00EA7516">
      <w:r>
        <w:separator/>
      </w:r>
    </w:p>
  </w:endnote>
  <w:endnote w:type="continuationSeparator" w:id="0">
    <w:p w14:paraId="0CA26122" w14:textId="77777777" w:rsidR="00315CBB" w:rsidRDefault="00315CBB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6B7E" w14:textId="3990A613" w:rsidR="00D9449A" w:rsidRPr="00D9449A" w:rsidRDefault="00D9449A" w:rsidP="00D9449A">
    <w:pPr>
      <w:pStyle w:val="Footer"/>
      <w:jc w:val="right"/>
      <w:rPr>
        <w:color w:val="BFBFBF" w:themeColor="background1" w:themeShade="BF"/>
        <w:sz w:val="16"/>
      </w:rPr>
    </w:pPr>
    <w:r w:rsidRPr="00D9449A">
      <w:rPr>
        <w:color w:val="BFBFBF" w:themeColor="background1" w:themeShade="BF"/>
        <w:sz w:val="16"/>
      </w:rPr>
      <w:t xml:space="preserve">SOMOGC – rev </w:t>
    </w:r>
    <w:r w:rsidR="00A71C4E">
      <w:rPr>
        <w:color w:val="BFBFBF" w:themeColor="background1" w:themeShade="BF"/>
        <w:sz w:val="16"/>
      </w:rPr>
      <w:t>07</w:t>
    </w:r>
    <w:r w:rsidR="001D2CF8">
      <w:rPr>
        <w:color w:val="BFBFBF" w:themeColor="background1" w:themeShade="BF"/>
        <w:sz w:val="16"/>
      </w:rPr>
      <w:t>Jul202</w:t>
    </w:r>
    <w:r w:rsidR="00A71C4E">
      <w:rPr>
        <w:color w:val="BFBFBF" w:themeColor="background1" w:themeShade="BF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6A9A" w14:textId="77777777" w:rsidR="00315CBB" w:rsidRDefault="00315CBB" w:rsidP="00EA7516">
      <w:r>
        <w:separator/>
      </w:r>
    </w:p>
  </w:footnote>
  <w:footnote w:type="continuationSeparator" w:id="0">
    <w:p w14:paraId="2986E35D" w14:textId="77777777" w:rsidR="00315CBB" w:rsidRDefault="00315CBB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053BC"/>
    <w:multiLevelType w:val="hybridMultilevel"/>
    <w:tmpl w:val="EC04E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9378F9"/>
    <w:multiLevelType w:val="hybridMultilevel"/>
    <w:tmpl w:val="B41401E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59A25B8"/>
    <w:multiLevelType w:val="hybridMultilevel"/>
    <w:tmpl w:val="57E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068B7"/>
    <w:multiLevelType w:val="hybridMultilevel"/>
    <w:tmpl w:val="0D46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A2BBB"/>
    <w:multiLevelType w:val="hybridMultilevel"/>
    <w:tmpl w:val="BD0C28B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F365076"/>
    <w:multiLevelType w:val="hybridMultilevel"/>
    <w:tmpl w:val="0E10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37EB0"/>
    <w:multiLevelType w:val="hybridMultilevel"/>
    <w:tmpl w:val="1D12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82FCF"/>
    <w:multiLevelType w:val="hybridMultilevel"/>
    <w:tmpl w:val="BE320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A03CE9"/>
    <w:multiLevelType w:val="hybridMultilevel"/>
    <w:tmpl w:val="E8D4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262A"/>
    <w:multiLevelType w:val="hybridMultilevel"/>
    <w:tmpl w:val="B5BE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34F35"/>
    <w:multiLevelType w:val="hybridMultilevel"/>
    <w:tmpl w:val="DF5A1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D81623"/>
    <w:multiLevelType w:val="hybridMultilevel"/>
    <w:tmpl w:val="C3146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54255"/>
    <w:multiLevelType w:val="hybridMultilevel"/>
    <w:tmpl w:val="F01AA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2B64D5"/>
    <w:multiLevelType w:val="hybridMultilevel"/>
    <w:tmpl w:val="1F66D95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98A746D"/>
    <w:multiLevelType w:val="hybridMultilevel"/>
    <w:tmpl w:val="2C10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555F4"/>
    <w:multiLevelType w:val="hybridMultilevel"/>
    <w:tmpl w:val="7A3A98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91809"/>
    <w:multiLevelType w:val="hybridMultilevel"/>
    <w:tmpl w:val="6FC09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76441"/>
    <w:multiLevelType w:val="hybridMultilevel"/>
    <w:tmpl w:val="AE8EE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16D6D"/>
    <w:multiLevelType w:val="hybridMultilevel"/>
    <w:tmpl w:val="21B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77273"/>
    <w:multiLevelType w:val="hybridMultilevel"/>
    <w:tmpl w:val="47A03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9D3898"/>
    <w:multiLevelType w:val="hybridMultilevel"/>
    <w:tmpl w:val="8C9E2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A337A"/>
    <w:multiLevelType w:val="hybridMultilevel"/>
    <w:tmpl w:val="07E67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6"/>
  </w:num>
  <w:num w:numId="4">
    <w:abstractNumId w:val="30"/>
  </w:num>
  <w:num w:numId="5">
    <w:abstractNumId w:val="13"/>
  </w:num>
  <w:num w:numId="6">
    <w:abstractNumId w:val="18"/>
  </w:num>
  <w:num w:numId="7">
    <w:abstractNumId w:val="23"/>
  </w:num>
  <w:num w:numId="8">
    <w:abstractNumId w:val="33"/>
  </w:num>
  <w:num w:numId="9">
    <w:abstractNumId w:val="14"/>
  </w:num>
  <w:num w:numId="10">
    <w:abstractNumId w:val="25"/>
  </w:num>
  <w:num w:numId="11">
    <w:abstractNumId w:val="2"/>
  </w:num>
  <w:num w:numId="12">
    <w:abstractNumId w:val="19"/>
  </w:num>
  <w:num w:numId="13">
    <w:abstractNumId w:val="28"/>
  </w:num>
  <w:num w:numId="14">
    <w:abstractNumId w:val="27"/>
  </w:num>
  <w:num w:numId="15">
    <w:abstractNumId w:val="1"/>
  </w:num>
  <w:num w:numId="16">
    <w:abstractNumId w:val="0"/>
  </w:num>
  <w:num w:numId="17">
    <w:abstractNumId w:val="11"/>
  </w:num>
  <w:num w:numId="18">
    <w:abstractNumId w:val="24"/>
  </w:num>
  <w:num w:numId="19">
    <w:abstractNumId w:val="35"/>
  </w:num>
  <w:num w:numId="20">
    <w:abstractNumId w:val="5"/>
  </w:num>
  <w:num w:numId="21">
    <w:abstractNumId w:val="22"/>
  </w:num>
  <w:num w:numId="22">
    <w:abstractNumId w:val="3"/>
  </w:num>
  <w:num w:numId="23">
    <w:abstractNumId w:val="4"/>
  </w:num>
  <w:num w:numId="24">
    <w:abstractNumId w:val="34"/>
  </w:num>
  <w:num w:numId="25">
    <w:abstractNumId w:val="29"/>
  </w:num>
  <w:num w:numId="26">
    <w:abstractNumId w:val="15"/>
  </w:num>
  <w:num w:numId="27">
    <w:abstractNumId w:val="7"/>
  </w:num>
  <w:num w:numId="28">
    <w:abstractNumId w:val="9"/>
  </w:num>
  <w:num w:numId="29">
    <w:abstractNumId w:val="37"/>
  </w:num>
  <w:num w:numId="30">
    <w:abstractNumId w:val="36"/>
  </w:num>
  <w:num w:numId="31">
    <w:abstractNumId w:val="20"/>
  </w:num>
  <w:num w:numId="32">
    <w:abstractNumId w:val="17"/>
  </w:num>
  <w:num w:numId="33">
    <w:abstractNumId w:val="32"/>
  </w:num>
  <w:num w:numId="34">
    <w:abstractNumId w:val="6"/>
  </w:num>
  <w:num w:numId="35">
    <w:abstractNumId w:val="16"/>
  </w:num>
  <w:num w:numId="36">
    <w:abstractNumId w:val="21"/>
  </w:num>
  <w:num w:numId="37">
    <w:abstractNumId w:val="1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76"/>
    <w:rsid w:val="00007C9D"/>
    <w:rsid w:val="000203DE"/>
    <w:rsid w:val="00021798"/>
    <w:rsid w:val="000640BB"/>
    <w:rsid w:val="00093014"/>
    <w:rsid w:val="000A0C55"/>
    <w:rsid w:val="000B30FB"/>
    <w:rsid w:val="000B4E5F"/>
    <w:rsid w:val="000C3EB4"/>
    <w:rsid w:val="000C6C40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B54AE"/>
    <w:rsid w:val="001C0EED"/>
    <w:rsid w:val="001D2CF8"/>
    <w:rsid w:val="001E6F85"/>
    <w:rsid w:val="00237CC7"/>
    <w:rsid w:val="00242F1F"/>
    <w:rsid w:val="00243A0A"/>
    <w:rsid w:val="00254CB0"/>
    <w:rsid w:val="00257A4C"/>
    <w:rsid w:val="0028182B"/>
    <w:rsid w:val="00282BFA"/>
    <w:rsid w:val="002833FF"/>
    <w:rsid w:val="0028344E"/>
    <w:rsid w:val="00293BE2"/>
    <w:rsid w:val="0029531E"/>
    <w:rsid w:val="00297BF0"/>
    <w:rsid w:val="002B5517"/>
    <w:rsid w:val="002B5B84"/>
    <w:rsid w:val="002C2461"/>
    <w:rsid w:val="002C3E64"/>
    <w:rsid w:val="0030401F"/>
    <w:rsid w:val="00304FA9"/>
    <w:rsid w:val="00314AB7"/>
    <w:rsid w:val="00315CBB"/>
    <w:rsid w:val="0033437A"/>
    <w:rsid w:val="00340D30"/>
    <w:rsid w:val="003B4002"/>
    <w:rsid w:val="003B600F"/>
    <w:rsid w:val="003D1CD0"/>
    <w:rsid w:val="003E35DA"/>
    <w:rsid w:val="003F6EB6"/>
    <w:rsid w:val="00403A3D"/>
    <w:rsid w:val="00417DCC"/>
    <w:rsid w:val="0043632A"/>
    <w:rsid w:val="00456CF8"/>
    <w:rsid w:val="004575A6"/>
    <w:rsid w:val="004918A6"/>
    <w:rsid w:val="004A30FE"/>
    <w:rsid w:val="004A58D2"/>
    <w:rsid w:val="004B3698"/>
    <w:rsid w:val="004B6355"/>
    <w:rsid w:val="004D2E17"/>
    <w:rsid w:val="004F1B90"/>
    <w:rsid w:val="004F1CC3"/>
    <w:rsid w:val="004F2F18"/>
    <w:rsid w:val="00510F45"/>
    <w:rsid w:val="0053523F"/>
    <w:rsid w:val="005378E9"/>
    <w:rsid w:val="005409AC"/>
    <w:rsid w:val="00557B53"/>
    <w:rsid w:val="00571D28"/>
    <w:rsid w:val="00572C85"/>
    <w:rsid w:val="00576D39"/>
    <w:rsid w:val="005927CC"/>
    <w:rsid w:val="0059607C"/>
    <w:rsid w:val="005C0F34"/>
    <w:rsid w:val="005E7700"/>
    <w:rsid w:val="005F1F44"/>
    <w:rsid w:val="00620425"/>
    <w:rsid w:val="0062517C"/>
    <w:rsid w:val="006273E3"/>
    <w:rsid w:val="006309BD"/>
    <w:rsid w:val="0063233B"/>
    <w:rsid w:val="00673EF7"/>
    <w:rsid w:val="006C5197"/>
    <w:rsid w:val="00723918"/>
    <w:rsid w:val="007313E6"/>
    <w:rsid w:val="0075283A"/>
    <w:rsid w:val="00754B48"/>
    <w:rsid w:val="00755AF9"/>
    <w:rsid w:val="007628D7"/>
    <w:rsid w:val="007733B1"/>
    <w:rsid w:val="00776785"/>
    <w:rsid w:val="00776900"/>
    <w:rsid w:val="007808C2"/>
    <w:rsid w:val="00782534"/>
    <w:rsid w:val="00784551"/>
    <w:rsid w:val="00792D9A"/>
    <w:rsid w:val="007D7966"/>
    <w:rsid w:val="007D7A2D"/>
    <w:rsid w:val="00817DA5"/>
    <w:rsid w:val="008204F3"/>
    <w:rsid w:val="008327FA"/>
    <w:rsid w:val="0088435A"/>
    <w:rsid w:val="008B1BD4"/>
    <w:rsid w:val="008B4AB9"/>
    <w:rsid w:val="008B6475"/>
    <w:rsid w:val="008C5930"/>
    <w:rsid w:val="008C6FB9"/>
    <w:rsid w:val="008D6306"/>
    <w:rsid w:val="008D6F8E"/>
    <w:rsid w:val="008E20B6"/>
    <w:rsid w:val="00922AE2"/>
    <w:rsid w:val="00951A9A"/>
    <w:rsid w:val="0095543B"/>
    <w:rsid w:val="00971536"/>
    <w:rsid w:val="00981289"/>
    <w:rsid w:val="009D12BC"/>
    <w:rsid w:val="009E2076"/>
    <w:rsid w:val="00A058C7"/>
    <w:rsid w:val="00A15C43"/>
    <w:rsid w:val="00A238F7"/>
    <w:rsid w:val="00A27DF3"/>
    <w:rsid w:val="00A347CF"/>
    <w:rsid w:val="00A6621B"/>
    <w:rsid w:val="00A71C4E"/>
    <w:rsid w:val="00A7247E"/>
    <w:rsid w:val="00A96244"/>
    <w:rsid w:val="00AB2916"/>
    <w:rsid w:val="00AB36A4"/>
    <w:rsid w:val="00AD1CD0"/>
    <w:rsid w:val="00AE00A5"/>
    <w:rsid w:val="00AE2420"/>
    <w:rsid w:val="00AF6340"/>
    <w:rsid w:val="00B04497"/>
    <w:rsid w:val="00B06B05"/>
    <w:rsid w:val="00B10AF9"/>
    <w:rsid w:val="00B14286"/>
    <w:rsid w:val="00B255A0"/>
    <w:rsid w:val="00B47713"/>
    <w:rsid w:val="00B47C7F"/>
    <w:rsid w:val="00B52526"/>
    <w:rsid w:val="00B7421E"/>
    <w:rsid w:val="00B94B7D"/>
    <w:rsid w:val="00BA788F"/>
    <w:rsid w:val="00BB3336"/>
    <w:rsid w:val="00BF110B"/>
    <w:rsid w:val="00C002B2"/>
    <w:rsid w:val="00C3336C"/>
    <w:rsid w:val="00C65329"/>
    <w:rsid w:val="00C66A08"/>
    <w:rsid w:val="00CB11EA"/>
    <w:rsid w:val="00CC32FA"/>
    <w:rsid w:val="00CD53F5"/>
    <w:rsid w:val="00CE3B1A"/>
    <w:rsid w:val="00CE5855"/>
    <w:rsid w:val="00D14B48"/>
    <w:rsid w:val="00D248A5"/>
    <w:rsid w:val="00D270AA"/>
    <w:rsid w:val="00D40838"/>
    <w:rsid w:val="00D761CB"/>
    <w:rsid w:val="00D800E1"/>
    <w:rsid w:val="00D81D72"/>
    <w:rsid w:val="00D82599"/>
    <w:rsid w:val="00D927F9"/>
    <w:rsid w:val="00D93E61"/>
    <w:rsid w:val="00D9449A"/>
    <w:rsid w:val="00DB7A67"/>
    <w:rsid w:val="00DB7D9F"/>
    <w:rsid w:val="00DD0721"/>
    <w:rsid w:val="00DD4D0E"/>
    <w:rsid w:val="00DE5727"/>
    <w:rsid w:val="00E054BD"/>
    <w:rsid w:val="00E21745"/>
    <w:rsid w:val="00E35D9D"/>
    <w:rsid w:val="00E6338F"/>
    <w:rsid w:val="00E65DF9"/>
    <w:rsid w:val="00EA7516"/>
    <w:rsid w:val="00EB7B42"/>
    <w:rsid w:val="00ED244B"/>
    <w:rsid w:val="00EE1405"/>
    <w:rsid w:val="00F05A31"/>
    <w:rsid w:val="00F15E9D"/>
    <w:rsid w:val="00F26D35"/>
    <w:rsid w:val="00F316B8"/>
    <w:rsid w:val="00F341ED"/>
    <w:rsid w:val="00F458C9"/>
    <w:rsid w:val="00F943B9"/>
    <w:rsid w:val="00FA2803"/>
    <w:rsid w:val="00FA662D"/>
    <w:rsid w:val="00FB078C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137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000000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999999" w:themeColor="text1" w:themeTint="66"/>
        <w:bottom w:val="single" w:sz="4" w:space="2" w:color="999999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ED7D31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ED7D31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ED7D31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ED7D31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000000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000000" w:themeColor="text1" w:themeShade="BF"/>
      <w:sz w:val="23"/>
    </w:rPr>
  </w:style>
  <w:style w:type="character" w:styleId="Hyperlink">
    <w:name w:val="Hyperlink"/>
    <w:basedOn w:val="DefaultParagraphFont"/>
    <w:uiPriority w:val="99"/>
    <w:rsid w:val="000C6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7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63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2/subtitle-A/chapter-II/part-200/subpart-A/subject-group-ECFR2a6a0087862fd2c/section-200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p5a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7E0B3-CA9F-423F-95BB-C2C5272F5BCD}">
  <ds:schemaRefs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b0879af-3eba-417a-a55a-ffe6dcd6ca77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6dc4bcd6-49db-4c07-9060-8acfc67cef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79C8F-E798-4CB9-870D-76183E30D3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checklist.dotx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2025-07-07T18:25:00Z</dcterms:created>
  <dcterms:modified xsi:type="dcterms:W3CDTF">2025-07-07T18:25:00Z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