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BC" w:rsidRPr="00955BFE" w:rsidRDefault="00D21DBC" w:rsidP="00D21DBC">
      <w:pPr>
        <w:spacing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955BF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Impact of Dialysis Dependence and Modality on Complications after Carpal Tunnel Release</w:t>
      </w:r>
    </w:p>
    <w:p w:rsidR="00D21DBC" w:rsidRPr="00955BFE" w:rsidRDefault="00D21DBC" w:rsidP="00D21DBC">
      <w:pPr>
        <w:spacing w:line="48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</w:pPr>
      <w:r w:rsidRPr="00955BF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</w:rPr>
        <w:t>Abstract</w:t>
      </w:r>
    </w:p>
    <w:p w:rsidR="00D21DBC" w:rsidRPr="00955BFE" w:rsidRDefault="00D21DBC" w:rsidP="00D21DBC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55BF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Purpose:  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 investigate (1) the cumulative incidence of carpal tunnel syndrome (CTS) in dialysis-dependent patients between 2006-2014, (2) the cumulative incidence of carpal tunnel release (CTR) in the dialysis-dependent patients, and (3) the differences in postoperative complications after CTR between patients utilizing two dialysis modalities and matched controls. </w:t>
      </w:r>
    </w:p>
    <w:p w:rsidR="00D21DBC" w:rsidRPr="00955BFE" w:rsidRDefault="00D21DBC" w:rsidP="00D21DBC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55BF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Methods: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Using a national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Medicare 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database,  dialysis-dependent patient with CTS and those who underwent CTR were identified and compared to controls who were not dialysis-dependent.  Trends in both CTS and CTR in dialysis-dependent and control patients were analyzed. The dialysis-dependent group undergoing CTR were then subdivided by dialysis modality.  First, peritoneal dialysis (PD) patients were identified and then hemodialysis (HD) and finally non-dialysis-dependent controls were matched to the PD patients. Complications were compared between these three groups, including hospital admission, emergency department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(ED)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visits, infection, revision CTR, and incidence of chronic regional pain syndrome (CRPS).</w:t>
      </w:r>
    </w:p>
    <w:p w:rsidR="00D21DBC" w:rsidRPr="00955BFE" w:rsidRDefault="00D21DBC" w:rsidP="00D21DBC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55BF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Results: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The incidence of CTS and CTR in dialysis-dependent patients increased significantly relative to controls. Dialysis-dependent patients had significantly increased rates of hospital admission (PD: OR 4.13, P &lt; 0.0001; HD: OR 4.42, P &lt; 0.0001), infection (PD: OR 2.32, P= 0.013; HD: OR 3.20, P&lt;0.0001), and revision CTR (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PD: 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OR 2.04, P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.009;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HD: 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OR 1.62, P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.037).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Overall, there were few differences in complication rates between PD and HD patients, with the exception of ED visits, which were significantly lower for PD compared to HD patients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(OR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.63, P=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.038). </w:t>
      </w:r>
    </w:p>
    <w:p w:rsidR="00D21DBC" w:rsidRDefault="00D21DBC" w:rsidP="00D21DBC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55BF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Conclusions: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The relative incidence of both CTS and CTR increased in dialysis-dependent patients from 2006-2014. 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Dialysis-dependent patients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are at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 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significantly increased risk for developing perioperative complications following CTR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compared to matched controls, and dialysis modality does not appear to have a significant impact on complication rates</w:t>
      </w:r>
      <w:r w:rsidRPr="00955BF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 </w:t>
      </w:r>
    </w:p>
    <w:p w:rsidR="007F4717" w:rsidRDefault="00D21DBC">
      <w:bookmarkStart w:id="0" w:name="_GoBack"/>
      <w:bookmarkEnd w:id="0"/>
    </w:p>
    <w:sectPr w:rsidR="007F4717" w:rsidSect="00F5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C"/>
    <w:rsid w:val="004B002B"/>
    <w:rsid w:val="00D21DBC"/>
    <w:rsid w:val="00D330DF"/>
    <w:rsid w:val="00E01E59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AF00D"/>
  <w14:defaultImageDpi w14:val="32767"/>
  <w15:chartTrackingRefBased/>
  <w15:docId w15:val="{A23C1D32-4CDD-E544-8B7E-E25B0B9F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1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Larson</dc:creator>
  <cp:keywords/>
  <dc:description/>
  <cp:lastModifiedBy>Eric Larson</cp:lastModifiedBy>
  <cp:revision>1</cp:revision>
  <dcterms:created xsi:type="dcterms:W3CDTF">2019-06-01T21:11:00Z</dcterms:created>
  <dcterms:modified xsi:type="dcterms:W3CDTF">2019-06-01T21:12:00Z</dcterms:modified>
</cp:coreProperties>
</file>