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13" w:rsidRDefault="009C1313" w:rsidP="009C1313">
      <w:pPr>
        <w:pStyle w:val="PlainText"/>
      </w:pPr>
      <w:r>
        <w:t xml:space="preserve">2019 Resident Research Day </w:t>
      </w:r>
    </w:p>
    <w:p w:rsidR="009C1313" w:rsidRDefault="009C1313" w:rsidP="009C1313">
      <w:pPr>
        <w:pStyle w:val="PlainText"/>
      </w:pPr>
      <w:r>
        <w:t>Baris Yildirim</w:t>
      </w:r>
      <w:bookmarkStart w:id="0" w:name="_GoBack"/>
      <w:bookmarkEnd w:id="0"/>
    </w:p>
    <w:p w:rsidR="009C1313" w:rsidRDefault="009C1313" w:rsidP="009C1313">
      <w:pPr>
        <w:pStyle w:val="PlainText"/>
      </w:pPr>
    </w:p>
    <w:p w:rsidR="009C1313" w:rsidRDefault="009C1313" w:rsidP="009C1313">
      <w:pPr>
        <w:pStyle w:val="PlainText"/>
      </w:pPr>
      <w:r>
        <w:t>Anterolateral Ligament Healing in Patients Requiring Anterior Cruciate Ligament Reconstruction: A Retrospective Case Series Magnetic Resonance Imaging Review</w:t>
      </w:r>
    </w:p>
    <w:p w:rsidR="009C1313" w:rsidRDefault="009C1313" w:rsidP="009C1313">
      <w:pPr>
        <w:pStyle w:val="PlainText"/>
      </w:pPr>
      <w:r>
        <w:t> </w:t>
      </w:r>
    </w:p>
    <w:p w:rsidR="009C1313" w:rsidRDefault="009C1313" w:rsidP="009C1313">
      <w:pPr>
        <w:pStyle w:val="PlainText"/>
      </w:pPr>
      <w:r>
        <w:t>Purpose:</w:t>
      </w:r>
    </w:p>
    <w:p w:rsidR="009C1313" w:rsidRDefault="009C1313" w:rsidP="009C1313">
      <w:pPr>
        <w:pStyle w:val="PlainText"/>
      </w:pPr>
      <w:r>
        <w:t>To investigate the frequency of anterolateral ligament (ALL) healing in patients who experience anterior cruciate ligament (ACL) and ALL tears.​</w:t>
      </w:r>
    </w:p>
    <w:p w:rsidR="009C1313" w:rsidRDefault="009C1313" w:rsidP="009C1313">
      <w:pPr>
        <w:pStyle w:val="PlainText"/>
      </w:pPr>
    </w:p>
    <w:p w:rsidR="009C1313" w:rsidRDefault="009C1313" w:rsidP="009C1313">
      <w:pPr>
        <w:pStyle w:val="PlainText"/>
      </w:pPr>
      <w:r>
        <w:t>Methods:</w:t>
      </w:r>
    </w:p>
    <w:p w:rsidR="009C1313" w:rsidRDefault="009C1313" w:rsidP="009C1313">
      <w:pPr>
        <w:pStyle w:val="PlainText"/>
      </w:pPr>
      <w:r>
        <w:t xml:space="preserve">Our institution’s electronic medical record database was queried for patients who underwent primary ACL reconstruction with a subsequent MRI. Exclusion criteria included intact ALL on the initial MRI, ACL graft rupture on the subsequent MRI, multi-ligamentous injury, and age younger than 13 or older than 50 years. Each patient was diagnosed with an intact, partially injured, or fully ruptured ALL on the initial and subsequent MRIs. The location of ALL injury was also noted (femoral, </w:t>
      </w:r>
      <w:proofErr w:type="spellStart"/>
      <w:r>
        <w:t>midsubstance</w:t>
      </w:r>
      <w:proofErr w:type="spellEnd"/>
      <w:r>
        <w:t xml:space="preserve">, or </w:t>
      </w:r>
      <w:proofErr w:type="spellStart"/>
      <w:r>
        <w:t>tibial</w:t>
      </w:r>
      <w:proofErr w:type="spellEnd"/>
      <w:r>
        <w:t>).</w:t>
      </w:r>
    </w:p>
    <w:p w:rsidR="008955DB" w:rsidRDefault="008955DB"/>
    <w:sectPr w:rsidR="0089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13"/>
    <w:rsid w:val="008955DB"/>
    <w:rsid w:val="009C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EC69-4670-45DE-A721-BF21DEC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13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13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David E *HS</dc:creator>
  <cp:keywords/>
  <dc:description/>
  <cp:lastModifiedBy>Craig, David E *HS</cp:lastModifiedBy>
  <cp:revision>1</cp:revision>
  <dcterms:created xsi:type="dcterms:W3CDTF">2019-06-03T15:32:00Z</dcterms:created>
  <dcterms:modified xsi:type="dcterms:W3CDTF">2019-06-03T15:33:00Z</dcterms:modified>
</cp:coreProperties>
</file>